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SVBezGrV 2021 — Inkrafttreten</w:t>
      </w:r>
    </w:p>
    <w:p>
      <w:r>
        <w:rPr>
          <w:color w:val="555555"/>
          <w:sz w:val="18"/>
        </w:rPr>
        <w:t xml:space="preserve">Sozialversicherungs-Rechengrößenverordnung 2021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Diese Verordnung tritt am 1. Januar 2021 in Kraft.</w:t>
      </w:r>
    </w:p>
    <w:p>
      <w:r>
        <w:rPr>
          <w:color w:val="555555"/>
          <w:sz w:val="17"/>
        </w:rPr>
        <w:t xml:space="preserve">Zitiervorschlag: § 5 SVBezGrV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https://recht.nulegal.eu/gesetze/SVBezGrV%202021/5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