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SVBezGrV 2017 — Inkrafttreten</w:t>
      </w:r>
    </w:p>
    <w:p>
      <w:r>
        <w:rPr>
          <w:color w:val="555555"/>
          <w:sz w:val="18"/>
        </w:rPr>
        <w:t xml:space="preserve">Sozialversicherungs-Rechengrößenverordnung 2017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2017 in Kraft.</w:t>
      </w:r>
    </w:p>
    <w:p>
      <w:r>
        <w:rPr>
          <w:color w:val="555555"/>
          <w:sz w:val="17"/>
        </w:rPr>
        <w:t xml:space="preserve">Zitiervorschlag: § 6 SVBezGrV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https://recht.nulegal.eu/gesetze/SVBezGrV%202017/6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