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SVBezGrV 2017 — Bezugsgröße in der Sozialversicherung</w:t>
      </w:r>
    </w:p>
    <w:p>
      <w:r>
        <w:rPr>
          <w:color w:val="555555"/>
          <w:sz w:val="18"/>
        </w:rPr>
        <w:t xml:space="preserve">Sozialversicherungs-Rechengrößenverordnung 2017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Bezugsgröße im Sinne des § 18 Absatz 1 des Vierten Buches Sozialgesetzbuch beträgt im Jahr 2017 jährlich 35 700 Euro und monatlich 2 975 Euro.</w:t>
      </w:r>
    </w:p>
    <w:p>
      <w:r>
        <w:t xml:space="preserve">(2) Die Bezugsgröße (Ost) im Sinne des § 18 Absatz 2 des Vierten Buches Sozialgesetzbuch beträgt im Jahr 2017 jährlich 31 920 Euro und monatlich 2 660 Euro.</w:t>
      </w:r>
    </w:p>
    <w:p>
      <w:r>
        <w:rPr>
          <w:color w:val="555555"/>
          <w:sz w:val="17"/>
        </w:rPr>
        <w:t xml:space="preserve">Zitiervorschlag: § 2 SVBezGrV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https://recht.nulegal.eu/gesetze/SVBezGrV%202017/2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