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SVBezGrV 2016 — Inkrafttreten</w:t>
      </w:r>
    </w:p>
    <w:p>
      <w:r>
        <w:rPr>
          <w:color w:val="555555"/>
          <w:sz w:val="18"/>
        </w:rPr>
        <w:t xml:space="preserve">Sozialversicherungs-Rechengrößenverordnung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2016 in Kraft.</w:t>
      </w:r>
    </w:p>
    <w:p>
      <w:r>
        <w:rPr>
          <w:color w:val="555555"/>
          <w:sz w:val="17"/>
        </w:rPr>
        <w:t xml:space="preserve">Zitiervorschlag: § 6 SVBezGrV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