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SVBezGrV 2016 — Bezugsgröße in der Sozialversicherung</w:t>
      </w:r>
    </w:p>
    <w:p>
      <w:r>
        <w:rPr>
          <w:color w:val="555555"/>
          <w:sz w:val="18"/>
        </w:rPr>
        <w:t xml:space="preserve">Sozialversicherungs-Rechengrößenverordnung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Bezugsgröße im Sinne des § 18 Absatz 1 des Vierten Buches Sozialgesetzbuch beträgt im Jahr 2016 jährlich 34 860 Euro und monatlich 2 905 Euro.</w:t>
      </w:r>
    </w:p>
    <w:p>
      <w:r>
        <w:t xml:space="preserve">(2) Die Bezugsgröße (Ost) im Sinne des § 18 Absatz 2 des Vierten Buches Sozialgesetzbuch beträgt im Jahr 2016 jährlich 30 240 Euro und monatlich 2 520 Euro.</w:t>
      </w:r>
    </w:p>
    <w:p>
      <w:r>
        <w:rPr>
          <w:color w:val="555555"/>
          <w:sz w:val="17"/>
        </w:rPr>
        <w:t xml:space="preserve">Zitiervorschlag: § 2 SVBezGrV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