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SVBezGrG 2007 — Bezugsgröße in der Sozialversicherung</w:t>
      </w:r>
    </w:p>
    <w:p>
      <w:r>
        <w:rPr>
          <w:color w:val="555555"/>
          <w:sz w:val="18"/>
        </w:rPr>
        <w:t xml:space="preserve">Sozialversicherungs-Rechengrößengesetz 2007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Bezugsgröße im Sinne des § 18 Abs. 1 des Vierten Buches Sozialgesetzbuch beträgt im Jahr 2007 29.400 Euro jährlich und 2.450 Euro monatlich.</w:t>
      </w:r>
    </w:p>
    <w:p>
      <w:r>
        <w:t xml:space="preserve">(2) Die Bezugsgröße (Ost) im Sinne des § 18 Abs. 2 des Vierten Buches Sozialgesetzbuch beträgt im Jahr 2007 25.200 Euro jährlich und 2.100 Euro monatlich.</w:t>
      </w:r>
    </w:p>
    <w:p>
      <w:r>
        <w:rPr>
          <w:color w:val="555555"/>
          <w:sz w:val="17"/>
        </w:rPr>
        <w:t xml:space="preserve">Zitiervorschlag: § 2 SVBezGrG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https://recht.nulegal.eu/gesetze/SVBezGrG%202007/2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