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3 SVAbkCHNG</w:t>
      </w:r>
    </w:p>
    <w:p>
      <w:r>
        <w:rPr>
          <w:color w:val="555555"/>
          <w:sz w:val="18"/>
        </w:rPr>
        <w:t xml:space="preserve">Gesetz zu dem Abkommen vom 12. Juli 2001 zwischen der Bundesrepublik Deutschland und der Volksrepublik China über Sozialversicherung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Dieses Gesetz tritt am Tage nach seiner Verkündung in Kraft.</w:t>
      </w:r>
    </w:p>
    <w:p>
      <w:r>
        <w:t xml:space="preserve">(2) Der Tag, an dem das Abkommen nach seinem Artikel 16 in Kraft tritt, ist im Bundesgesetzblatt bekannt zu geben.</w:t>
      </w:r>
    </w:p>
    <w:p>
      <w:r>
        <w:rPr>
          <w:color w:val="555555"/>
          <w:sz w:val="17"/>
        </w:rPr>
        <w:t xml:space="preserve">Zitiervorschlag: Art 3 SVAbkCHNG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https://recht.nulegal.eu/gesetze/SVAbkCHNG/3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