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SV BER-G (Brandenburg) — Inkrafttreten</w:t>
      </w:r>
    </w:p>
    <w:p>
      <w:r>
        <w:rPr>
          <w:color w:val="555555"/>
          <w:sz w:val="18"/>
        </w:rPr>
        <w:t xml:space="preserve">Finanzierungsfonds Flughafen BER-Gesetz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Dieses Gesetz tritt am Tag nach der Verkündung in Kraft.</w:t>
      </w:r>
    </w:p>
    <w:p>
      <w:r>
        <w:t xml:space="preserve">Einzelnorm</w:t>
      </w:r>
    </w:p>
    <w:p>
      <w:r>
        <w:t xml:space="preserve">Potsdam, den 1. Juli 2015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Britta Stark</w:t>
      </w:r>
    </w:p>
    <w:p>
      <w:r>
        <w:rPr>
          <w:color w:val="555555"/>
          <w:sz w:val="17"/>
        </w:rPr>
        <w:t xml:space="preserve">Zitiervorschlag: § 7 SV BER-G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https://recht.nulegal.eu/gesetze/SV%20BER-G/7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