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SV BER-G (Brandenburg) — Auflösung</w:t>
      </w:r>
    </w:p>
    <w:p>
      <w:r>
        <w:rPr>
          <w:color w:val="555555"/>
          <w:sz w:val="18"/>
        </w:rPr>
        <w:t xml:space="preserve">Finanzierungsfonds Flughafen BER-Gesetz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Sondervermögen ist nach Erfüllung seines Zwecks gemäß § 2 aufzulösen. Das restliche Vermögen und die Verbindlichkeiten des Sondervermögens verbleiben beim Land. Die Einzelheiten zur Auflösung und Abwicklung des Sondervermögens bestimmt das für Finanzen zuständige Mitglied der Landesregierung durch Rechtsverordnung.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SV BER-G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https://recht.nulegal.eu/gesetze/SV%20BER-G/6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