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SV BER-G (Brandenburg) — Stellung im Rechtsverkehr</w:t>
      </w:r>
    </w:p>
    <w:p>
      <w:r>
        <w:rPr>
          <w:color w:val="555555"/>
          <w:sz w:val="18"/>
        </w:rPr>
        <w:t xml:space="preserve">Finanzierungsfonds Flughafen BER-Gesetz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ist nicht rechtsfähig. Es kann unter seinem Namen im Rechtsverkehr handeln, klagen und verklagt werden. Der allgemeine Gerichtsstand des Sondervermögens ist Potsdam.</w:t>
      </w:r>
    </w:p>
    <w:p>
      <w:r>
        <w:t xml:space="preserve">(2) Das Sondervermögen ist vom übrigen Vermögen des Landes, seinen Rechten und Verbindlichkeiten getrennt zu halten. Das Land haftet unmittelbar für die Verbindlichkeiten des Sondervermögens; dieses haftet nicht für die sonstigen Verbindlichkeiten des Landes.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3 SV BER-G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https://recht.nulegal.eu/gesetze/SV%20BER-G/3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