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SUrlV 2016 — Sonderurlaub zur Ausübung einer Tätigkeit in öffentlichen zwischenstaatlichen oder überstaatlichen Einrichtungen oder in einer öffentlichen Einrichtung eines Mitgliedstaates der Europäischen Union</w:t>
      </w:r>
    </w:p>
    <w:p>
      <w:r>
        <w:rPr>
          <w:color w:val="555555"/>
          <w:sz w:val="18"/>
        </w:rPr>
        <w:t xml:space="preserve">Sonderurlaubsverordnung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Sonderurlaub unter Wegfall der Besoldung ist zu gewähren bei Entsendung für eine hauptberufliche Tätigkeit</w:t>
      </w:r>
    </w:p>
    <w:p>
      <w:pPr>
        <w:ind w:left="420"/>
      </w:pPr>
      <w:r>
        <w:t xml:space="preserve">1. in einer öffentlichen zwischenstaatlichen oder überstaatlichen Einrichtung,</w:t>
      </w:r>
    </w:p>
    <w:p>
      <w:pPr>
        <w:ind w:left="420"/>
      </w:pPr>
      <w:r>
        <w:t xml:space="preserve">2. in der Verwaltung eines Mitgliedstaates der Europäischen Union oder</w:t>
      </w:r>
    </w:p>
    <w:p>
      <w:pPr>
        <w:ind w:left="420"/>
      </w:pPr>
      <w:r>
        <w:t xml:space="preserve">3. in einer öffentlichen Einrichtung eines Mitgliedstaates der Europäischen Union.</w:t>
      </w:r>
    </w:p>
    <w:p>
      <w:r>
        <w:t xml:space="preserve">Die Dauer des Sonderurlaubs richtet sich nach der Dauer der Entsendung.</w:t>
      </w:r>
    </w:p>
    <w:p>
      <w:r>
        <w:t xml:space="preserve">(2) Sonderurlaub von bis zu einem Jahr unter Wegfall der Besoldung ist auch für die Wahrnehmung einer hauptberuflichen Tätigkeit nach Absatz 1 Satz 1 zu gewähren, wenn die Beamtin oder der Beamte zu dieser hauptberuflichen Tätigkeit nicht entsandt wird.</w:t>
      </w:r>
    </w:p>
    <w:p>
      <w:r>
        <w:rPr>
          <w:color w:val="555555"/>
          <w:sz w:val="17"/>
        </w:rPr>
        <w:t xml:space="preserve">Zitiervorschlag: § 6 SUrlV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https://recht.nulegal.eu/gesetze/SUrlV%202016/6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