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SUrlV 2016 — Voraussetzungen</w:t>
      </w:r>
    </w:p>
    <w:p>
      <w:r>
        <w:rPr>
          <w:color w:val="555555"/>
          <w:sz w:val="18"/>
        </w:rPr>
        <w:t xml:space="preserve">Sonderurlaubsverordnung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Sonderurlaub wird nur gewährt, wenn</w:t>
      </w:r>
    </w:p>
    <w:p>
      <w:pPr>
        <w:ind w:left="420"/>
      </w:pPr>
      <w:r>
        <w:t xml:space="preserve">1. der Anlass, für den Sonderurlaub beantragt wurde, nicht außerhalb der Arbeitszeit wahrgenommen oder erledigt werden kann,</w:t>
      </w:r>
    </w:p>
    <w:p>
      <w:pPr>
        <w:ind w:left="420"/>
      </w:pPr>
      <w:r>
        <w:t xml:space="preserve">2. dienstliche Gründe nicht entgegenstehen und</w:t>
      </w:r>
    </w:p>
    <w:p>
      <w:pPr>
        <w:ind w:left="420"/>
      </w:pPr>
      <w:r>
        <w:t xml:space="preserve">3. die jeweiligen Voraussetzungen der §§ 5 bis 22 erfüllt sind.</w:t>
      </w:r>
    </w:p>
    <w:p>
      <w:r>
        <w:rPr>
          <w:color w:val="555555"/>
          <w:sz w:val="17"/>
        </w:rPr>
        <w:t xml:space="preserve">Zitiervorschlag: § 3 SUrlV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https://recht.nulegal.eu/gesetze/SUrlV%202016/3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