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SUrlV 2016 — Besoldung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Besoldung im Sinne dieser Verordnung gehören die in § 1 Absatz 2 und 3 des Bundesbesoldungsgesetzes genannten Bezüge.</w:t>
      </w:r>
    </w:p>
    <w:p>
      <w:r>
        <w:t xml:space="preserve">(2) Erhält die Beamtin oder der Beamte in den Fällen des § 10 oder des § 22 Absatz 3 Zuwendungen von anderer Seite, so ist die Besoldung entsprechend zu kürzen. Das gilt nicht, wenn der Wert der Zuwendungen gering ist.</w:t>
      </w:r>
    </w:p>
    <w:p>
      <w:r>
        <w:t xml:space="preserve">(3) Dauert der Sonderurlaub unter Wegfall der Besoldung nicht länger als einen Monat, bleibt der Anspruch auf Beihilfe oder auf Heilfürsorge nach § 70 Absatz 2 des Bundesbesoldungsgesetzes unberührt.</w:t>
      </w:r>
    </w:p>
    <w:p>
      <w:r>
        <w:rPr>
          <w:color w:val="555555"/>
          <w:sz w:val="17"/>
        </w:rPr>
        <w:t xml:space="preserve">Zitiervorschlag: § 26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SUrlV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