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SUrlV 2016 — Ersatz von Mehraufwendungen</w:t>
      </w:r>
    </w:p>
    <w:p>
      <w:r>
        <w:rPr>
          <w:color w:val="555555"/>
          <w:sz w:val="18"/>
        </w:rPr>
        <w:t xml:space="preserve">Sonderurlaubsverordnung</w:t>
      </w:r>
    </w:p>
    <w:p>
      <w:r>
        <w:rPr>
          <w:color w:val="555555"/>
          <w:sz w:val="18"/>
        </w:rPr>
        <w:t xml:space="preserve">Stand: 10.06.2019 (konsolidierte Textfassung, kein amtliches Inkrafttretensdatum)</w:t>
      </w:r>
    </w:p>
    <w:p>
      <w:r>
        <w:t xml:space="preserve">(1) Folgende Mehraufwendungen werden der Beamtin oder dem Beamten nach den Bestimmungen des Reisekostenrechts ersetzt:</w:t>
      </w:r>
    </w:p>
    <w:p>
      <w:pPr>
        <w:ind w:left="420"/>
      </w:pPr>
      <w:r>
        <w:t xml:space="preserve">1. Mehraufwendungen, die durch den Widerruf der Genehmigung von Sonderurlaub nach § 24 Nummer 1 entstehen,</w:t>
      </w:r>
    </w:p>
    <w:p>
      <w:pPr>
        <w:ind w:left="420"/>
      </w:pPr>
      <w:r>
        <w:t xml:space="preserve">2. Mehraufwendungen, die anlässlich der Wiederaufnahme des Dienstes nach einem Sonderurlaub zur Ausübung einer Tätigkeit in öffentlichen zwischenstaatlichen oder überstaatlichen Einrichtungen (§ 6 Absatz 1 Satz 1) oder nach einem Sonderurlaub zur Wahrnehmung von Aufgaben der Entwicklungszusammenarbeit (§ 7) entstehen, wenn die oberste Dienstbehörde oder die von ihr bestimmte Stelle spätestens bei Beendigung des Sonderurlaubs schriftlich anerkannt hat, dass der Sonderurlaub dienstlichen Interessen oder öffentlichen Belangen diente.</w:t>
      </w:r>
    </w:p>
    <w:p>
      <w:r>
        <w:t xml:space="preserve">(2) Zuwendungen, die die Beamtin oder der Beamte von anderer Seite zur Deckung der Aufwendungen erhalten hat, sind anzurechnen.</w:t>
      </w:r>
    </w:p>
    <w:p>
      <w:r>
        <w:rPr>
          <w:color w:val="555555"/>
          <w:sz w:val="17"/>
        </w:rPr>
        <w:t xml:space="preserve">Zitiervorschlag: § 25 SUrlV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https://recht.nulegal.eu/gesetze/SUrlV%202016/25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SUrlV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