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SUrlV 2016 — Sonderurlaub aus persönlichen Anlässen</w:t>
      </w:r>
    </w:p>
    <w:p>
      <w:r>
        <w:rPr>
          <w:color w:val="555555"/>
          <w:sz w:val="18"/>
        </w:rPr>
        <w:t xml:space="preserve">Sonderurlaubsverordnung</w:t>
      </w:r>
    </w:p>
    <w:p>
      <w:r>
        <w:rPr>
          <w:color w:val="555555"/>
          <w:sz w:val="18"/>
        </w:rPr>
        <w:t xml:space="preserve">Stand: 14.03.2026 (konsolidierte Textfassung, kein amtliches Inkrafttretensdatum)</w:t>
      </w:r>
    </w:p>
    <w:p>
      <w:r>
        <w:t xml:space="preserve">(1) Sonderurlaub unter Fortzahlung der Besoldung ist wie folgt zu gewähren:</w:t>
      </w:r>
    </w:p>
    <w:p>
      <w:r>
        <w:rPr>
          <w:rFonts w:ascii="Courier New" w:hAnsi="Courier New"/>
          <w:sz w:val="17"/>
        </w:rPr>
        <w:t xml:space="preserve">    Anlass    Urlaubsdauer</w:t>
      </w:r>
    </w:p>
    <w:p>
      <w:r>
        <w:rPr>
          <w:rFonts w:ascii="Courier New" w:hAnsi="Courier New"/>
          <w:sz w:val="17"/>
        </w:rPr>
        <w:t xml:space="preserve">1.    Niederkunft der Ehefrau, der Lebenspartnerin oder der mit der Beamtin oder dem Beamten in ehe- oder lebenspartnerschaftsähnlicher Gemeinschaft lebenden Lebensgefährtin    ein Arbeitstag</w:t>
      </w:r>
    </w:p>
    <w:p>
      <w:r>
        <w:rPr>
          <w:rFonts w:ascii="Courier New" w:hAnsi="Courier New"/>
          <w:sz w:val="17"/>
        </w:rPr>
        <w:t xml:space="preserve">2.    Tod der Ehefrau oder des Ehemanns, der Lebenspartnerin oder des Lebenspartners, eines Kindes oder eines Elternteils der Beamtin oder des Beamten    zwei Arbeitstage</w:t>
      </w:r>
    </w:p>
    <w:p>
      <w:r>
        <w:rPr>
          <w:rFonts w:ascii="Courier New" w:hAnsi="Courier New"/>
          <w:sz w:val="17"/>
        </w:rPr>
        <w:t xml:space="preserve">3.    bei ärztlich bescheinigter Erkrankung und bei ärztlicher Bescheinigung über die Notwendigkeit zur Pflege, Beaufsichtigung oder Betreuung einer oder eines im Haushalt der Beamtin oder des Beamten lebenden Angehörigen im Sinne des § 20 Absatz 5 Satz 1 des Verwaltungsverfahrensgesetzes    ein Arbeitstag im Urlaubsjahr</w:t>
      </w:r>
    </w:p>
    <w:p>
      <w:r>
        <w:rPr>
          <w:rFonts w:ascii="Courier New" w:hAnsi="Courier New"/>
          <w:sz w:val="17"/>
        </w:rPr>
        <w:t xml:space="preserve">4.    bei ärztlich bescheinigter Erkrankung und bei ärztlicher Bescheinigung über die Notwendigkeit zur Pflege, Beaufsichtigung oder Betreuung eines Kindes der Beamtin oder des Beamten, das noch nicht zwölf Jahre alt ist, oder eines behinderten und auf Hilfe angewiesenen Kindes    für jedes Kindbis zu acht Arbeitstage im Urlaubsjahr</w:t>
      </w:r>
    </w:p>
    <w:p>
      <w:r>
        <w:rPr>
          <w:rFonts w:ascii="Courier New" w:hAnsi="Courier New"/>
          <w:sz w:val="17"/>
        </w:rPr>
        <w:t xml:space="preserve">5.    Erkrankung der Betreuungsperson eines Kindes der Beamtin oder des Beamten, das noch nicht acht Jahre alt ist oder wegen körperlicher, geistiger oder seelischer Behinderung auf Hilfe angewiesen ist    bis zu vier Arbeitstage im Urlaubsjahr</w:t>
      </w:r>
    </w:p>
    <w:p>
      <w:r>
        <w:rPr>
          <w:rFonts w:ascii="Courier New" w:hAnsi="Courier New"/>
          <w:sz w:val="17"/>
        </w:rPr>
        <w:t xml:space="preserve">6.    Fälle, in denen für eine nahe Angehörige oder einen nahen Angehörigen im Sinne des § 7 Absatz 3 des Pflegezeitgesetzes in einer akut auftretenden Pflegesituation eine bedarfsgerechte Pflege organisiert oder eine pflegerische Versorgung sichergestellt werden muss, nach Verlangen unter Vorlage einer ärztlichen Bescheinigung über die Pflegebedürftigkeit im Sinne des § 14 Absatz 1 des Elften Buches Sozialgesetzbuch    für jede pflegebedürftige Person bis zu neun Arbeitstage</w:t>
      </w:r>
    </w:p>
    <w:p>
      <w:r>
        <w:rPr>
          <w:rFonts w:ascii="Courier New" w:hAnsi="Courier New"/>
          <w:sz w:val="17"/>
        </w:rPr>
        <w:t xml:space="preserve">7.    Spende von Organen und Geweben, die nach § 8 des Transplantationsgesetzes erfolgt, oder für eine Blutspende zur Separation von Blutstammzellen oder anderer Blutbestandteile im Sinne von § 1 des Transfusionsgesetzes, soweit eine ärztliche Bescheinigung vorgelegt wird    Dauer der notwendigen Abwesenheit</w:t>
      </w:r>
    </w:p>
    <w:p>
      <w:r>
        <w:t xml:space="preserve">(2) Abweichend von Absatz 1 Nummer 4 beträgt die Dauer des gewährten Sonderurlaubs im Jahr 2026</w:t>
      </w:r>
    </w:p>
    <w:p>
      <w:pPr>
        <w:ind w:left="420"/>
      </w:pPr>
      <w:r>
        <w:t xml:space="preserve">1. für jedes Kind bis zu 13 Arbeitstage im Urlaubsjahr, für alle Kinder zusammen höchstens 30 Arbeitstage im Urlaubsjahr,</w:t>
      </w:r>
    </w:p>
    <w:p>
      <w:pPr>
        <w:ind w:left="420"/>
      </w:pPr>
      <w:r>
        <w:t xml:space="preserve">2. bei alleinerziehenden Beamtinnen und Beamten für jedes Kind bis zu 26 Arbeitstage im Urlaubsjahr, für alle Kinder zusammen höchstens 60 Arbeitstage im Urlaubsjahr.</w:t>
      </w:r>
    </w:p>
    <w:p>
      <w:r>
        <w:t xml:space="preserve">(3) In den Fällen des Absatzes 1 Nummer 3 bis 5 können auch halbe Sonderurlaubstage gewährt werden. Ein halber Sonderurlaubstag entspricht der Hälfte der für den jeweiligen Arbeitstag festgesetzten regelmäßigen Arbeitszeit.</w:t>
      </w:r>
    </w:p>
    <w:p>
      <w:r>
        <w:t xml:space="preserve">(4) Die oberste Dienstbehörde kann im Einvernehmen mit dem Bundesministerium des Innern und für Heimat von den Absätzen 1 bis 3 abweichende Regelungen treffen für Beamtinnen und Beamte, die beschäftigt sind</w:t>
      </w:r>
    </w:p>
    <w:p>
      <w:pPr>
        <w:ind w:left="420"/>
      </w:pPr>
      <w:r>
        <w:t xml:space="preserve">1. im Bereich der Deutschen Bahn Aktiengesellschaft,</w:t>
      </w:r>
    </w:p>
    <w:p>
      <w:pPr>
        <w:ind w:left="420"/>
      </w:pPr>
      <w:r>
        <w:t xml:space="preserve">2. bei einer Gesellschaft, die nach § 2 Absatz 1 und § 3 Absatz 3 Satz 2 des Deutsche Bahn Gründungsgesetzes ausgegliedert worden ist.</w:t>
      </w:r>
    </w:p>
    <w:p>
      <w:r>
        <w:t xml:space="preserve">(5) Für die bei den Postnachfolgeunternehmen beschäftigten Beamtinnen und Beamten kann die oberste Dienstbehörde im Einvernehmen mit dem Bundesministerium der Finanzen und dem Bundesministerium des Innern und für Heimat von den Absätzen 1 bis 3 abweichende Regelungen treffen.</w:t>
      </w:r>
    </w:p>
    <w:p>
      <w:r>
        <w:rPr>
          <w:color w:val="555555"/>
          <w:sz w:val="17"/>
        </w:rPr>
        <w:t xml:space="preserve">Zitiervorschlag: § 21 SUrlV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https://recht.nulegal.eu/gesetze/SUrlV%202016/21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