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SUrlV 2016 — Zuständigkeit</w:t>
      </w:r>
    </w:p>
    <w:p>
      <w:r>
        <w:rPr>
          <w:color w:val="555555"/>
          <w:sz w:val="18"/>
        </w:rPr>
        <w:t xml:space="preserve">Sonderurlaubsverordnung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Entscheidung über die Gewährung von Sonderurlaub trifft – außer in den Fällen des § 22 Absatz 1 Satz 2 und Absatz 3 Satz 2 – die personalverwaltende Dienstbehörde.</w:t>
      </w:r>
    </w:p>
    <w:p>
      <w:r>
        <w:rPr>
          <w:color w:val="555555"/>
          <w:sz w:val="17"/>
        </w:rPr>
        <w:t xml:space="preserve">Zitiervorschlag: § 2 SUrlV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https://recht.nulegal.eu/gesetze/SUrlV%202016/2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