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SUrlV 2016 — Sonderurlaub für kirchliche Zwecke</w:t>
      </w:r>
    </w:p>
    <w:p>
      <w:r>
        <w:rPr>
          <w:color w:val="555555"/>
          <w:sz w:val="18"/>
        </w:rPr>
        <w:t xml:space="preserve">Sonderurlaubsverordnung</w:t>
      </w:r>
    </w:p>
    <w:p>
      <w:r>
        <w:rPr>
          <w:color w:val="555555"/>
          <w:sz w:val="18"/>
        </w:rPr>
        <w:t xml:space="preserve">Stand: 10.06.2019 (konsolidierte Textfassung, kein amtliches Inkrafttretensdatum)</w:t>
      </w:r>
    </w:p>
    <w:p>
      <w:r>
        <w:t xml:space="preserve">Sonderurlaub von bis zu fünf Arbeitstagen im Kalenderjahr unter Fortzahlung der Besoldung ist zu gewähren für die Teilnahme</w:t>
      </w:r>
    </w:p>
    <w:p>
      <w:pPr>
        <w:ind w:left="420"/>
      </w:pPr>
      <w:r>
        <w:t xml:space="preserve">1. an Sitzungen der Verfassungsorgane oder an Sitzungen überörtlicher Verwaltungsgremien der Kirchen oder der sonstigen öffentlich-rechtlichen Religionsgesellschaften, wenn die Beamtin oder der Beamte dem Verfassungsorgan oder dem Gremium angehört,</w:t>
      </w:r>
    </w:p>
    <w:p>
      <w:pPr>
        <w:ind w:left="420"/>
      </w:pPr>
      <w:r>
        <w:t xml:space="preserve">2. an Tagungen der Kirchen oder der öffentlich-rechtlichen Religionsgesellschaften, wenn die Beamtin oder der Beamte auf Anforderung der Kirchenleitung oder der obersten Leitung der Religionsgesellschaft als Delegierte oder Delegierter oder als Mitglied eines Verwaltungsgremiums der Kirche oder der Religionsgesellschaft teilnimmt, oder</w:t>
      </w:r>
    </w:p>
    <w:p>
      <w:pPr>
        <w:ind w:left="420"/>
      </w:pPr>
      <w:r>
        <w:t xml:space="preserve">3. an Veranstaltungen des Deutschen Evangelischen Kirchentages, des Deutschen Katholikentages, des Ökumenischen Kirchentages oder des Weltjugendtages.</w:t>
      </w:r>
    </w:p>
    <w:p>
      <w:r>
        <w:rPr>
          <w:color w:val="555555"/>
          <w:sz w:val="17"/>
        </w:rPr>
        <w:t xml:space="preserve">Zitiervorschlag: § 16 SUrlV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https://recht.nulegal.eu/gesetze/SUrlV%202016/16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