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SUrlV 2016 — Sonderurlaub für gewerkschaftliche Zwecke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Sonderurlaub von jeweils bis zu fünf Arbeitstagen im Kalenderjahr unter Fortzahlung der Besoldung ist zu gewähren für die Teilnahme</w:t>
      </w:r>
    </w:p>
    <w:p>
      <w:pPr>
        <w:ind w:left="420"/>
      </w:pPr>
      <w:r>
        <w:t xml:space="preserve">1. an Sitzungen eines überörtlichen Gewerkschafts- oder Berufsverbandsvorstandes, dem die Beamtin oder der Beamte angehört, oder</w:t>
      </w:r>
    </w:p>
    <w:p>
      <w:pPr>
        <w:ind w:left="420"/>
      </w:pPr>
      <w:r>
        <w:t xml:space="preserve">2. an Tagungen von Gewerkschaften oder Berufsverbänden auf internationaler Ebene, auf Bundes- oder Landesebene oder, sofern es keine Landesebene gibt, auf Bezirksebene, wenn die Beamtin oder der Beamte als Mitglied eines Gewerkschafts- oder Berufsverbandsvorstandes oder als Delegierte oder Delegierter teilnimmt.</w:t>
      </w:r>
    </w:p>
    <w:p>
      <w:r>
        <w:rPr>
          <w:color w:val="555555"/>
          <w:sz w:val="17"/>
        </w:rPr>
        <w:t xml:space="preserve">Zitiervorschlag: § 15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