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SUrlV 2016 — Geltungsbereich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Beamtinnen und Beamten des Bundes. Für die Richterinnen und Richter im Bundesdienst gilt diese Verordnung nach § 46 des Deutschen Richtergesetzes entsprechend.</w:t>
      </w:r>
    </w:p>
    <w:p>
      <w:r>
        <w:t xml:space="preserve">(2) Ansprüche auf Sonderurlaub für Beamtinnen und Beamte des Bundes sowie Richterinnen und Richter des Bundes, die sich aus anderen Rechtsvorschriften ergeben, bleiben unberührt.</w:t>
      </w:r>
    </w:p>
    <w:p>
      <w:r>
        <w:rPr>
          <w:color w:val="555555"/>
          <w:sz w:val="17"/>
        </w:rPr>
        <w:t xml:space="preserve">Zitiervorschlag: § 1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