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SUG — Anpassung betrieblicher Sicherheitskonzepte</w:t>
      </w:r>
    </w:p>
    <w:p>
      <w:r>
        <w:rPr>
          <w:color w:val="555555"/>
          <w:sz w:val="18"/>
        </w:rPr>
        <w:t xml:space="preserve">Seesicherheits-Untersuchungs-Gesetz</w:t>
      </w:r>
    </w:p>
    <w:p>
      <w:r>
        <w:rPr>
          <w:color w:val="555555"/>
          <w:sz w:val="18"/>
        </w:rPr>
        <w:t xml:space="preserve">Stand: 10.06.2019 (konsolidierte Textfassung, kein amtliches Inkrafttretensdatum)</w:t>
      </w:r>
    </w:p>
    <w:p>
      <w:r>
        <w:t xml:space="preserve">Die Seeunfälle im Sinne von § 4 sind nach Maßgabe des Schiffssicherheitsgesetzes und der darin aufgeführten internationalen Schiffssicherheitsregelungen sowie der Schiffssicherheitsverordnung auf Veranlassung der beim Betrieb eines Schiffes nach dem Schiffssicherheitsgesetz für die Sicherheitsorganisation Verantwortlichen unverzüglich zu analysieren und zu untersuchen mit dem Ziel, das Konzept des Unternehmens für die Organisation von Sicherheitsanforderungen zur Gewährleistung eines sicheren Schiffsbetriebs und die Verhütung der Meeresverschmutzung nach Maßgabe der Ergebnisse der Untersuchung anzupassen.</w:t>
      </w:r>
    </w:p>
    <w:p>
      <w:r>
        <w:rPr>
          <w:color w:val="555555"/>
          <w:sz w:val="17"/>
        </w:rPr>
        <w:t xml:space="preserve">Zitiervorschlag: § 6 SUG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https://recht.nulegal.eu/gesetze/SUG/6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