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SUG — Entzug und Beschränkung der Ausübung von Berechtigungen</w:t>
      </w:r>
    </w:p>
    <w:p>
      <w:r>
        <w:rPr>
          <w:color w:val="555555"/>
          <w:sz w:val="18"/>
        </w:rPr>
        <w:t xml:space="preserve">Seesicherheits-Untersuchungs-Gesetz</w:t>
      </w:r>
    </w:p>
    <w:p>
      <w:r>
        <w:rPr>
          <w:color w:val="555555"/>
          <w:sz w:val="18"/>
        </w:rPr>
        <w:t xml:space="preserve">Außer Kraft: § 50 ist seit 01.01.2025 nicht mehr im SUG enthalten. Angezeigt wird die letzte bekannte Fassung, Stand 10.06.2019.</w:t>
      </w:r>
    </w:p>
    <w:p>
      <w:r>
        <w:t xml:space="preserve">(1) Das Seeamt hat im Spruch ein Fahrverbot für höchstens 30 Monate auszusprechen, wenn es zu der Überzeugung gelangt ist, dass eine solche Maßnahme für die Sicherheit der Seefahrt im Sinne des § 1 erforderlich ist, weil der Inhaber der Berechtigung während dieser Zeit nicht die für eine Tätigkeit als Schiffsführer oder sonst in der Seefahrt Verantwortlicher gebotene körperliche oder geistige Eignung oder das für diese Tätigkeit gebotene Verantwortungsbewusstsein besitzt. Ein solcher Mangel ist in der Regel anzunehmen, wenn der Inhaber infolge des Genusses alkoholischer Getränke oder anderer berauschender Mittel nicht in der Lage war, den Dienst an Bord sicher auszuüben. Falls der Inhaber mehr als ein Befähigungszeugnis besitzt, kann im Spruch ausgesprochen werden, dass die Ausübung einzelner Befugnisse unbeschränkt bleibt.</w:t>
      </w:r>
    </w:p>
    <w:p>
      <w:r>
        <w:t xml:space="preserve">(2) Hält das Seeamt eine Maßnahme nach Absatz 1 aus besonderen Gründen zur Sicherheit der Seefahrt nicht für ausreichend, so kann es zusätzliche Auflagen anordnen oder die Berechtigung auf Dauer entziehen.</w:t>
      </w:r>
    </w:p>
    <w:p>
      <w:r>
        <w:t xml:space="preserve">(3) Die Erteilung einer Berechtigung, deren Befugnisse in der entzogenen oder hinsichtlich der Ausübung beschränkten Berechtigung eingeschlossen sind, kann zugelassen werden.</w:t>
      </w:r>
    </w:p>
    <w:p>
      <w:r>
        <w:t xml:space="preserve">(4) Unter den Voraussetzungen des Absatzes 1 Satz 1 und 2 kann gegenüber dem Inhaber eines nicht von einer Behörde der Bundesrepublik Deutschland ausgestellten Befähigungszeugnisses oder einer ausländischen Fahrerlaubnis für Sportboote oder sonstige Fahrzeuge sowie eines Befähigungszeugnisses der Binnenschifffahrt für alle oder bestimmte deutsche Hoheitsgewässer ein Fahrverbot ausgesprochen werden.</w:t>
      </w:r>
    </w:p>
    <w:p>
      <w:r>
        <w:t xml:space="preserve">(5) Wird die Ausübung einer Berechtigung im Sinne des Absatzes 1 oder 4 beschränkt, so ruht diese; die damit verbundene Befugnis darf vom Zeitpunkt des Spruchs – und nach einer gerichtlichen Anfechtungsklage oder Einlegung eines sonstigen Rechtsmittels vom Zeitpunkt der Abweisung des Rechtsbehelfs – an bis zum Ablauf der hierfür im Spruch bezeichneten Frist und zur Erfüllung von Auflagen nach Absatz 2, soweit vorhanden, nicht mehr ausgeübt werden. Befinden sich in den Fällen des § 49 Absatz 2 Nummer 4 und 5 die über die Berechtigung ausgestellten Urkunden nicht im Besitz des Seeamtes, sind sie vom Inhaber unverzüglich dem Seeamt abzuliefern oder im Falle eines Fahrverbots zur Eintragung vorzulegen. § 111a Absatz 5 der Strafprozessordnung gilt entsprechend.</w:t>
      </w:r>
    </w:p>
    <w:p>
      <w:r>
        <w:t xml:space="preserve">(6) Befähigungszeugnisse sowie Fahrerlaubnisse für Sportboote, die von einer Behörde der Deutschen Demokratischen Republik ausgestellt sind, gelten im Sinne dieser Vorschrift als von einer Behörde der Bundesrepublik Deutschland ausgestellt.</w:t>
      </w:r>
    </w:p>
    <w:p>
      <w:r>
        <w:rPr>
          <w:color w:val="555555"/>
          <w:sz w:val="17"/>
        </w:rPr>
        <w:t xml:space="preserve">Zitiervorschlag: § 50 SUG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