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SUG — Spruch des Seeamtes</w:t>
      </w:r>
    </w:p>
    <w:p>
      <w:r>
        <w:rPr>
          <w:color w:val="555555"/>
          <w:sz w:val="18"/>
        </w:rPr>
        <w:t xml:space="preserve">Seesicherheits-Untersuchungs-Gesetz</w:t>
      </w:r>
    </w:p>
    <w:p>
      <w:r>
        <w:rPr>
          <w:color w:val="555555"/>
          <w:sz w:val="18"/>
        </w:rPr>
        <w:t xml:space="preserve">Außer Kraft: § 49 ist seit 01.01.2025 nicht mehr im SUG enthalten. Angezeigt wird die letzte bekannte Fassung, Stand 10.06.2019.</w:t>
      </w:r>
    </w:p>
    <w:p>
      <w:r>
        <w:t xml:space="preserve">(1) Das Untersuchungsverfahren wird durch Spruch abgeschlossen. Das Seeamt entscheidet unter Würdigung des Gesamtergebnisses des Verfahrens.</w:t>
      </w:r>
    </w:p>
    <w:p>
      <w:r>
        <w:t xml:space="preserve">(2) Der Spruch enthält</w:t>
      </w:r>
    </w:p>
    <w:p>
      <w:pPr>
        <w:ind w:left="420"/>
      </w:pPr>
      <w:r>
        <w:t xml:space="preserve">1. Feststellungen über die zugrunde liegenden Tatsachen,</w:t>
      </w:r>
    </w:p>
    <w:p>
      <w:pPr>
        <w:ind w:left="420"/>
      </w:pPr>
      <w:r>
        <w:t xml:space="preserve">2. die Entscheidung, dass ein fehlerhaftes Verhalten eines Beteiligten vorliegt, sofern die Untersuchung dies ergeben hat,</w:t>
      </w:r>
    </w:p>
    <w:p>
      <w:pPr>
        <w:ind w:left="420"/>
      </w:pPr>
      <w:r>
        <w:t xml:space="preserve">3. unter den nach § 50 Absatz 1 bis 4 jeweils dafür maßgebenden Voraussetzungen</w:t>
      </w:r>
    </w:p>
    <w:p>
      <w:pPr>
        <w:ind w:left="780"/>
      </w:pPr>
      <w:r>
        <w:t xml:space="preserve">a) die befristete oder unbefristete Untersagung der Ausübung von Befugnissen (Fahrverbot) (§ 50 Absatz 1 und 4), erforderlichenfalls mit Auflagen (§ 50 Absatz 2),</w:t>
      </w:r>
    </w:p>
    <w:p>
      <w:pPr>
        <w:ind w:left="780"/>
      </w:pPr>
      <w:r>
        <w:t xml:space="preserve">b) die Entziehung einer Berechtigung (§ 50 Absatz 2) oder</w:t>
      </w:r>
    </w:p>
    <w:p>
      <w:pPr>
        <w:ind w:left="780"/>
      </w:pPr>
      <w:r>
        <w:t xml:space="preserve">c) die Erlaubnis, ein minderes Befähigungszeugnis auszustellen (§ 50 Absatz 3),</w:t>
      </w:r>
    </w:p>
    <w:p>
      <w:pPr>
        <w:ind w:left="420"/>
      </w:pPr>
      <w:r>
        <w:t xml:space="preserve">4. in den Fällen der Nummer 3 Buchstabe a eine Entscheidung, ob ein Vermerk über ein Fahrverbot von mehr als zwölf Monaten Dauer in eine Urkunde über die Berechtigung einzutragen ist, und</w:t>
      </w:r>
    </w:p>
    <w:p>
      <w:pPr>
        <w:ind w:left="420"/>
      </w:pPr>
      <w:r>
        <w:t xml:space="preserve">5. in den Fällen der Nummer 3 Buchstabe a und b eine Entscheidung, ob eine vorläufige Sicherstellung und amtliche Verwahrung der über die Berechtigung ausgestellten Urkunde oder Urkunden oder eine Beschlagnahme zum Zwecke einer Eintragung nach Nummer 4 vorzunehmen ist.</w:t>
      </w:r>
    </w:p>
    <w:p>
      <w:r>
        <w:t xml:space="preserve">Der Spruch lautet auf Einstellung des Verfahrens, wenn sich herausstellt, dass die Voraussetzungen der §§ 39 bis 41 nicht vorliegen. Der Spruch enthält eine Kostenentscheidung.</w:t>
      </w:r>
    </w:p>
    <w:p>
      <w:r>
        <w:t xml:space="preserve">(3) Der Spruch darf eine Entscheidung nach Absatz 2 Satz 1 Nummer 2 nur enthalten, wenn er auf Grund dieser Entscheidung auch eine Entscheidung nach Absatz 2 Satz 1 Nummer 3 enthält. Das Seeamt kann ein fehlerhaftes Verhalten eines Beteiligten feststellen, wenn dieser nach der Überzeugung des Seeamtes Rechtsvorschriften, Verwaltungsanordnungen, Richtlinien oder allgemeine für seinen Verantwortungsbereich geltende Grundsätze, insbesondere allgemeine Grundsätze der Schiffsführung, der Schiffsbetriebstechnik, des Funkdienstes, der Sicherheit der Schifffahrt, des Umweltschutzes auf See oder allgemein anerkannte Regeln der Technik nicht beachtet hat.</w:t>
      </w:r>
    </w:p>
    <w:p>
      <w:r>
        <w:t xml:space="preserve">(4) Der Spruch darf Entscheidungen nach Absatz 2 Satz 1 Nummer 2 oder 3 nur enthalten, wenn</w:t>
      </w:r>
    </w:p>
    <w:p>
      <w:pPr>
        <w:ind w:left="420"/>
      </w:pPr>
      <w:r>
        <w:t xml:space="preserve">1. das Seeamt sie zur mündlichen oder schriftlichen Erörterung gestellt hat und</w:t>
      </w:r>
    </w:p>
    <w:p>
      <w:pPr>
        <w:ind w:left="420"/>
      </w:pPr>
      <w:r>
        <w:t xml:space="preserve">2. der Beteiligte ausreichend Gelegenheit zur Stellungnahme gegenüber dem Seeamt hatte oder trotz ordnungsgemäßer Ladung zur mündlichen Verhandlung ohne ausreichende Entschuldigung nicht erschien. Ist der Beteiligte bei einer mündlichen Verhandlung abwesend, so darf der Spruch Entscheidungen nach Absatz 2 Satz 1 Nummer 2 oder 3 nur enthalten, wenn der Beteiligte zuvor auf diese Möglichkeit hingewiesen worden ist.</w:t>
      </w:r>
    </w:p>
    <w:p>
      <w:r>
        <w:t xml:space="preserve">(5) Der Spruch ist schriftlich abzufassen und von dem Vorsitzenden und den Beisitzern zu unterzeichnen. Er soll binnen eines Monats vollständig vorliegen. In den Gründen sind die zugrunde liegenden Tatsachen darzustellen. Die Beteiligten und ihre Berechtigungen oder Fahrerlaubnisse sind genau zu bezeichnen. Das Ergebnis der Beweisaufnahme ist zu würdigen. Es sind die Umstände anzugeben, die für den Spruch maßgebend waren.</w:t>
      </w:r>
    </w:p>
    <w:p>
      <w:r>
        <w:t xml:space="preserve">(6) Der Spruch ist den Beteiligten zuzustellen. Auf Antrag erhalten sie eine Ausfertigung der Niederschrift über die mündliche Verhandlung.</w:t>
      </w:r>
    </w:p>
    <w:p>
      <w:r>
        <w:t xml:space="preserve">(7) Das Seeamt teilt vollziehbare Entscheidungen im Sinne von Absatz 2 Satz 1 Nummer 3 bis 5 auch den folgenden Stellen mit:</w:t>
      </w:r>
    </w:p>
    <w:p>
      <w:pPr>
        <w:ind w:left="420"/>
      </w:pPr>
      <w:r>
        <w:t xml:space="preserve">1. Stellen, die die betreffenden Berechtigungen erteilt oder Zeugnisse ausgestellt haben, bei Fahrerlaubnissen für in Deutschland registrierte Sportboote der Generaldirektion Wasserstraßen und Schifffahrt;</w:t>
      </w:r>
    </w:p>
    <w:p>
      <w:pPr>
        <w:ind w:left="420"/>
      </w:pPr>
      <w:r>
        <w:t xml:space="preserve">2. in den Fällen, in denen das Seeamt weder die Eintragung eines Vermerks noch die vorläufige Sicherstellung und amtliche Verwahrung einer Urkunde angeordnet hat, den im Rahmen des Seeaufgabengesetzes mit dem schifffahrtspolizeilichen Vollzug beauftragten Behörden.</w:t>
      </w:r>
    </w:p>
    <w:p>
      <w:r>
        <w:t xml:space="preserve">(8) Unanfechtbare Sprüche des Seeamtes können vollständig – einschließlich der Schiffsnamen, soweit es zur Erfüllung der öffentlichen Aufgabe nach diesem Abschnitt erforderlich ist – oder in gekürzter Fassung in einer amtlichen Entscheidungssammlung veröffentlicht werden, wenn die Namen der natürlichen Personen in der Veröffentlichung anonymisiert werden. Beruht der Spruch auf einem nichtöffentlichen Verfahren, so sind bei der Entscheidung über die Veröffentlichung die Umstände zu berücksichtigen, auf denen die Nichtöffentlichkeit des Verfahrens beruht.</w:t>
      </w:r>
    </w:p>
    <w:p>
      <w:r>
        <w:rPr>
          <w:color w:val="555555"/>
          <w:sz w:val="17"/>
        </w:rPr>
        <w:t xml:space="preserve">Zitiervorschlag: § 49 SUG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