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SUG — Sachlicher Geltungsbereich des Abschnitts 2</w:t>
      </w:r>
    </w:p>
    <w:p>
      <w:r>
        <w:rPr>
          <w:color w:val="555555"/>
          <w:sz w:val="18"/>
        </w:rPr>
        <w:t xml:space="preserve">Seesicherheits-Untersuchungs-Gesetz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Dieser Abschnitt gilt für Untersuchungen durch Ermittlung und Auswertung der Ursachen von im Schiffsbetrieb auftretenden Seeunfällen seitens nachstehend bestimmter verantwortlicher Personen in der Seefahrt sowie für organisatorische Maßnahmen dieser Personen.</w:t>
      </w:r>
    </w:p>
    <w:p>
      <w:r>
        <w:rPr>
          <w:color w:val="555555"/>
          <w:sz w:val="17"/>
        </w:rPr>
        <w:t xml:space="preserve">Zitiervorschlag: § 4 SUG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