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SUG — Bußgeldvorschriften</w:t>
      </w:r>
    </w:p>
    <w:p>
      <w:r>
        <w:rPr>
          <w:color w:val="555555"/>
          <w:sz w:val="18"/>
        </w:rPr>
        <w:t xml:space="preserve">Seesicherheits-Untersuchungs-Gesetz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einer Rechtsverordnung nach § 22 Absatz 4 oder einer vollziehbaren Anordnung auf Grund einer solchen Rechtsverordnung zuwiderhandelt, soweit die Rechtsverordnung für einen bestimmten Tatbestand auf diese Bußgeldvorschrift verweist,</w:t>
      </w:r>
    </w:p>
    <w:p>
      <w:pPr>
        <w:ind w:left="420"/>
      </w:pPr>
      <w:r>
        <w:t xml:space="preserve">1a. entgegen § 23 Absatz 3 Satz 1 den Unfallort, eine Unfallspur, ein Wrackteil oder Trümmerstück des Schiffes oder sonstigen Inhalt des Schiffes oder der Ladung berührt oder verändert,</w:t>
      </w:r>
    </w:p>
    <w:p>
      <w:pPr>
        <w:ind w:left="420"/>
      </w:pPr>
      <w:r>
        <w:t xml:space="preserve">2. sich ohne Zustimmung nach § 24 Absatz 6 Satz 1 zum Stand der Untersuchung oder zu einzelnen Ergebnissen öffentlich äußert oder</w:t>
      </w:r>
    </w:p>
    <w:p>
      <w:pPr>
        <w:ind w:left="420"/>
      </w:pPr>
      <w:r>
        <w:t xml:space="preserve">3. entgegen § 26 Absatz 3 Satz 1 nicht wahrheitsgemäß aussagt.</w:t>
      </w:r>
    </w:p>
    <w:p>
      <w:r>
        <w:t xml:space="preserve">(2) Die Ordnungswidrigkeit kann</w:t>
      </w:r>
    </w:p>
    <w:p>
      <w:pPr>
        <w:ind w:left="420"/>
      </w:pPr>
      <w:r>
        <w:t xml:space="preserve">1. im Falle des Absatzes 1 Nummer 1 mit einer Geldbuße bis zu fünfundzwanzigtausend Euro und</w:t>
      </w:r>
    </w:p>
    <w:p>
      <w:pPr>
        <w:ind w:left="420"/>
      </w:pPr>
      <w:r>
        <w:t xml:space="preserve">2. in den übrigen Fällen mit einer Geldbuße</w:t>
      </w:r>
    </w:p>
    <w:p>
      <w:r>
        <w:t xml:space="preserve">geahndet werden.</w:t>
      </w:r>
    </w:p>
    <w:p>
      <w:r>
        <w:t xml:space="preserve">(3) Verwaltungsbehörde im Sinne des § 36 Absatz 1 Nummer 1 des Gesetzes über Ordnungswidrigkeiten ist die Generaldirektion Wasserstraßen und Schifffahrt.</w:t>
      </w:r>
    </w:p>
    <w:p>
      <w:r>
        <w:rPr>
          <w:color w:val="555555"/>
          <w:sz w:val="17"/>
        </w:rPr>
        <w:t xml:space="preserve">Zitiervorschlag: § 39 SUG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