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SUG — Verarbeitung</w:t>
      </w:r>
    </w:p>
    <w:p>
      <w:r>
        <w:rPr>
          <w:color w:val="555555"/>
          <w:sz w:val="18"/>
        </w:rPr>
        <w:t xml:space="preserve">Seesicherheits-Untersuchungs-Gesetz</w:t>
      </w:r>
    </w:p>
    <w:p>
      <w:r>
        <w:rPr>
          <w:color w:val="555555"/>
          <w:sz w:val="18"/>
        </w:rPr>
        <w:t xml:space="preserve">Stand: 02.12.2019 (konsolidierte Textfassung, kein amtliches Inkrafttretensdatum)</w:t>
      </w:r>
    </w:p>
    <w:p>
      <w:r>
        <w:t xml:space="preserve">(1) Die Bundesstelle, die Untersuchungsbefugten nach den §§ 22 und 32 sowie die Teilnehmer nach § 24 Absatz 1 dürfen im Rahmen ihrer Befugnisse nach den §§ 22 und 26 personenbezogene Daten aller an dem Seeunfall beteiligten oder von einem Seeunfall betroffenen Personen sowie von Zeugen und anderen Personen, die im Rahmen der Sicherheitsuntersuchung über den Seeunfall Aussagen machen, verarbeiten, soweit dies für die Erfüllung des Untersuchungsauftrags nach § 9 Absatz 2 erforderlich ist. Ebenso stellen sie die beteiligten Schiffe mit identifizierenden Schiffs- und Betreiberdaten sowie die relevanten Daten der an Bord befindlichen Passagiere und Ladung fest.</w:t>
      </w:r>
    </w:p>
    <w:p>
      <w:r>
        <w:t xml:space="preserve">(2) Personenbezogene Daten im Sinne des Absatzes 1 sind</w:t>
      </w:r>
    </w:p>
    <w:p>
      <w:pPr>
        <w:ind w:left="420"/>
      </w:pPr>
      <w:r>
        <w:t xml:space="preserve">1. Name und Vorname,</w:t>
      </w:r>
    </w:p>
    <w:p>
      <w:pPr>
        <w:ind w:left="420"/>
      </w:pPr>
      <w:r>
        <w:t xml:space="preserve">2. Anschrift und Telekommunikationsinformationen,</w:t>
      </w:r>
    </w:p>
    <w:p>
      <w:pPr>
        <w:ind w:left="420"/>
      </w:pPr>
      <w:r>
        <w:t xml:space="preserve">3. Stellung an Bord des Schiffes oder in dem das Schiff betreibenden Unternehmen,</w:t>
      </w:r>
    </w:p>
    <w:p>
      <w:pPr>
        <w:ind w:left="420"/>
      </w:pPr>
      <w:r>
        <w:t xml:space="preserve">4. die nachgewiesenen Befähigungen,</w:t>
      </w:r>
    </w:p>
    <w:p>
      <w:pPr>
        <w:ind w:left="420"/>
      </w:pPr>
      <w:r>
        <w:t xml:space="preserve">5. Beruf und beruflicher Werdegang,</w:t>
      </w:r>
    </w:p>
    <w:p>
      <w:pPr>
        <w:ind w:left="420"/>
      </w:pPr>
      <w:r>
        <w:t xml:space="preserve">6. Seediensttauglichkeit,</w:t>
      </w:r>
    </w:p>
    <w:p>
      <w:pPr>
        <w:ind w:left="420"/>
      </w:pPr>
      <w:r>
        <w:t xml:space="preserve">7. Angaben zum aktuellen Gesundheitszustand und Vorerkrankungen, soweit hierin ein Bezug zum Seeunfall gesehen werden kann.</w:t>
      </w:r>
    </w:p>
    <w:p>
      <w:r>
        <w:t xml:space="preserve">Im Falle der an Bord befindlichen Passagiere werden nur die Daten nach Satz 1 Nummer 1 bis 3 erhoben.</w:t>
      </w:r>
    </w:p>
    <w:p>
      <w:r>
        <w:t xml:space="preserve">(3) Die nach Absatz 1 oder weiteren Vorschriften dieses Gesetzes erhobenen und gespeicherten personenbezogenen Daten, insbesondere vertrauliche Erklärungen, sind durch technisch-organisatorische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gegen unbefugte Nutzung und dabei insbesondere gegen unbefugte Einsichtnahme besonders zu schützen.</w:t>
      </w:r>
    </w:p>
    <w:p>
      <w:r>
        <w:t xml:space="preserve">(4) (weggefallen)</w:t>
      </w:r>
    </w:p>
    <w:p>
      <w:r>
        <w:rPr>
          <w:color w:val="555555"/>
          <w:sz w:val="17"/>
        </w:rPr>
        <w:t xml:space="preserve">Zitiervorschlag: § 33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