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SUG — Ausländische Untersuchungsberichte</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Ausländische Untersuchungsberichte und deren Entwürfe, Teile davon und Dokumente, die die Bundesstelle auf Grund ihrer Beteiligung an einer Sicherheitsuntersuchung erhält, dürfen ohne die ausdrückliche Zustimmung der ausländischen Untersuchungsbehörde nicht veröffentlicht oder Dritten zugänglich gemacht werden, es sei denn, die ausländische Untersuchungsbehörde hat diese Unterlagen bereits veröffentlicht oder freigegeben. § 27 Absatz 2 Satz 2 gilt entsprechend.</w:t>
      </w:r>
    </w:p>
    <w:p>
      <w:r>
        <w:t xml:space="preserve">(2) Die Bundesstelle ist zur Veröffentlichung ausländischer Untersuchungsberichte nicht verpflichtet. Im Falle einer Veröffentlichung ist § 28 Absatz 2 Satz 1 entsprechend anzuwenden, sofern dies nicht bereits durch den ausländischen Staat erfolgt ist.</w:t>
      </w:r>
    </w:p>
    <w:p>
      <w:r>
        <w:rPr>
          <w:color w:val="555555"/>
          <w:sz w:val="17"/>
        </w:rPr>
        <w:t xml:space="preserve">Zitiervorschlag: § 30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