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SUG — Behördliche Aufgaben auf Grund von Rechtsakten der Europäischen Gemeinschaften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Im Rahmen ihrer Zuständigkeiten nach diesem Gesetz haben die darin genannten Behörden des Bundes jeweils die Überprüfungs-, Gestaltungs- und Eingriffsbefugnisse, -aufgaben und -pflichten, die die in Buchstabe B der Anlage genannten Einzelregelungen den Mitgliedstaaten zur Verwaltung oder ihren Verwaltungsbehörden für einen Fall vorbehalten oder zuweisen.</w:t>
      </w:r>
    </w:p>
    <w:p>
      <w:r>
        <w:t xml:space="preserve">* Diese Bestimmung dient der Umsetzung der in den Buchstaben B der Anlage genannten gemeinschaftsrechtlichen Vorschriften.</w:t>
      </w:r>
    </w:p>
    <w:p>
      <w:r>
        <w:rPr>
          <w:color w:val="555555"/>
          <w:sz w:val="17"/>
        </w:rPr>
        <w:t xml:space="preserve">Zitiervorschlag: § 3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