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SUG — Sicherheitsempfehlungen</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(1) Sicherheitsempfehlungen werden vom Direktor der Bundesstelle herausgegeben. Die Sicherheitsempfehlungen sind an die Stellen zu richten, die sie in geeignete Maßnahmen umsetzen können. Stellen in diesem Sinne können im Rahmen der Sicherheitsvorsorge nach § 3 des Schiffssicherheitsgesetzes auch einzelne Personen, Unternehmen oder Verbände sein.</w:t>
      </w:r>
    </w:p>
    <w:p>
      <w:r>
        <w:t xml:space="preserve">(2) Eine Sicherheitsempfehlung ist unabhängig vom Stand des Untersuchungsverfahrens als Frühwarnung herauszugeben, wenn die Bundesstelle zu der Erkenntnis gelangt, dass dringend gehandelt werden muss, um der Gefahr neuer Seeunfälle aus gleichem oder ähnlichem Anlass vorzubeugen. Bei Seeunfällen im Anwendungsbereich der Richtlinie 2009/18/EG unterrichtet sie darüber hinaus die Europäische Kommission, sofern sie aus den in Satz 1 genannten Gründen ein dringendes Handeln auf Gemeinschaftsebene für erforderlich hält.</w:t>
      </w:r>
    </w:p>
    <w:p>
      <w:r>
        <w:t xml:space="preserve">(3) Der Inhalt einer Sicherheitsempfehlung muss in angemessenem Verhältnis zu der sie auslösenden Ursache stehen.</w:t>
      </w:r>
    </w:p>
    <w:p>
      <w:r>
        <w:t xml:space="preserve">(4) Eine Sicherheitsempfehlung darf in keinem Fall zu einer Vermutung der Schuld oder Haftung für einen Seeunfall führen.</w:t>
      </w:r>
    </w:p>
    <w:p>
      <w:r>
        <w:t xml:space="preserve">(5) Die in Absatz 1 bezeichneten Stellen berichten der Bundesstelle innerhalb einer von dieser gesetzten angemessenen Frist über die zur Umsetzung der Sicherheitsempfehlung getroffenen oder geplanten geeigneten Maßnahmen.</w:t>
      </w:r>
    </w:p>
    <w:p>
      <w:r>
        <w:rPr>
          <w:color w:val="555555"/>
          <w:sz w:val="17"/>
        </w:rPr>
        <w:t xml:space="preserve">Zitiervorschlag: § 29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