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SUG — Veröffentlichung des Untersuchungsberichts</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 Bundesstelle veröffentlicht den endgültigen Untersuchungsbericht spätestens zwölf Monate nach dem Seeunfall. Ist es im Falle eines sehr schweren Seeunfalls oder eines schweren Seeunfalls, der unter den Anwendungsbereich der Richtlinie 2009/18/EG fällt, der Bundesstelle nicht möglich, den endgültigen Untersuchungsbericht innerhalb der in Satz 1 genannten Frist zu verfassen, veröffentlicht die Bundesstelle innerhalb dieser Frist einen Untersuchungszwischenbericht.</w:t>
      </w:r>
    </w:p>
    <w:p>
      <w:r>
        <w:t xml:space="preserve">(2) Die Bundesstelle übersendet je eine Ausfertigung des endgültigen Untersuchungsberichts an</w:t>
      </w:r>
    </w:p>
    <w:p>
      <w:pPr>
        <w:ind w:left="420"/>
      </w:pPr>
      <w:r>
        <w:t xml:space="preserve">1. die in § 27 Absatz 3 Satz 2 und 3, auch in Verbindung mit Satz 4, genannten Personen oder Stellen,</w:t>
      </w:r>
    </w:p>
    <w:p>
      <w:pPr>
        <w:ind w:left="420"/>
      </w:pPr>
      <w:r>
        <w:t xml:space="preserve">2. die Internationale Seeschifffahrts-Organisation, es sei denn, der IMO-Code für die Sicherheitsuntersuchung von Seeunfällen und Vorkommnissen auf See sieht eine solche Versendung nicht vor, und</w:t>
      </w:r>
    </w:p>
    <w:p>
      <w:pPr>
        <w:ind w:left="420"/>
      </w:pPr>
      <w:r>
        <w:t xml:space="preserve">3. die Europäische Kommission, soweit dies nach der Richtlinie 2009/18/EG vorgesehen ist.</w:t>
      </w:r>
    </w:p>
    <w:p>
      <w:r>
        <w:t xml:space="preserve">Zeitgleich erfolgt die Veröffentlichung des Untersuchungsberichts durch Bekanntgabe der Bezugsquelle im Verkehrsblatt des Bundesministeriums für Verkehr und digitale Infrastruktur und die Bereitstellung auf der Internetseite der Bundesstelle.</w:t>
      </w:r>
    </w:p>
    <w:p>
      <w:r>
        <w:t xml:space="preserve">(3) Die Bundesstelle übersendet je eine Ausfertigung des Untersuchungszwischenberichts nach Absatz 1 Satz 2 an die in Absatz 2 Satz 1 Nummer 1 und 3 genannten Personen und Stellen; eine Veröffentlichung nach Absatz 2 Satz 2 erfolgt, wenn mit der Veröffentlichung eine Verbesserung der Sicherheit auf See verbunden sein kann, insbesondere soweit Sicherheitsempfehlungen nach § 29 Absatz 2 Satz 1 herausgegeben worden sind.</w:t>
      </w:r>
    </w:p>
    <w:p>
      <w:r>
        <w:t xml:space="preserve">(4) Bei Seeunfällen, die sich im Anwendungsbereich der Richtlinie 2009/18/EG ereignet haben, berücksichtigt die Bundesstelle mögliche technische Anmerkungen der Europäischen Kommission zu den nach Absatz 2 übersandten Untersuchungsberichten, die den Inhalt der Ergebnisse nicht beeinflussen, im Hinblick auf die Verbesserung der Qualität des Untersuchungsberichts.</w:t>
      </w:r>
    </w:p>
    <w:p>
      <w:r>
        <w:rPr>
          <w:color w:val="555555"/>
          <w:sz w:val="17"/>
        </w:rPr>
        <w:t xml:space="preserve">Zitiervorschlag: § 28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