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SUG — Besorgnis der Befangenheit</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Liegt ein Grund vor, der geeignet ist, Misstrauen gegen die unparteiische Ausübung der Tätigkeit einer an der Sicherheitsuntersuchung beteiligten Person zu rechtfertigen, oder wird von einem Betroffenen das Vorliegen eines solchen Grundes behauptet (Besorgnis der Befangenheit), so hat die betreffende Person</w:t>
      </w:r>
    </w:p>
    <w:p>
      <w:pPr>
        <w:ind w:left="420"/>
      </w:pPr>
      <w:r>
        <w:t xml:space="preserve">1. den Direktor der Bundesstelle oder im Falle seiner Verhinderung seinen Vertreter davon in Kenntnis zu setzen,</w:t>
      </w:r>
    </w:p>
    <w:p>
      <w:pPr>
        <w:ind w:left="420"/>
      </w:pPr>
      <w:r>
        <w:t xml:space="preserve">2. sich der weiteren Beteiligung am Verfahren zunächst zu enthalten und</w:t>
      </w:r>
    </w:p>
    <w:p>
      <w:pPr>
        <w:ind w:left="420"/>
      </w:pPr>
      <w:r>
        <w:t xml:space="preserve">3. die Anordnungen des Direktors der Bundesstelle oder im Falle seiner Verhinderung seines Vertreters zu befolgen.</w:t>
      </w:r>
    </w:p>
    <w:p>
      <w:r>
        <w:t xml:space="preserve">Bereits vorgenommene Untersuchungshandlungen bleiben wirksam. Betrifft die Besorgnis der Befangenheit den Direktor der Bundesstelle oder seinen Vertreter, so trifft das Bundesministerium für Verkehr und digitale Infrastruktur die erforderlichen Anordnungen.</w:t>
      </w:r>
    </w:p>
    <w:p>
      <w:r>
        <w:rPr>
          <w:color w:val="555555"/>
          <w:sz w:val="17"/>
        </w:rPr>
        <w:t xml:space="preserve">Zitiervorschlag: § 25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