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SUG — Unfallort</w:t>
      </w:r>
    </w:p>
    <w:p>
      <w:r>
        <w:rPr>
          <w:color w:val="555555"/>
          <w:sz w:val="18"/>
        </w:rPr>
        <w:t xml:space="preserve">Seesicherheits-Untersuchungs-Gesetz</w:t>
      </w:r>
    </w:p>
    <w:p>
      <w:r>
        <w:rPr>
          <w:color w:val="555555"/>
          <w:sz w:val="18"/>
        </w:rPr>
        <w:t xml:space="preserve">Stand: 10.06.2019 (konsolidierte Textfassung, kein amtliches Inkrafttretensdatum)</w:t>
      </w:r>
    </w:p>
    <w:p>
      <w:r>
        <w:t xml:space="preserve">(1) Die Bundesstelle entscheidet nach einem Seeunfall in deutschen Hoheitsgewässern oder in der deutschen ausschließlichen Wirtschaftszone im Benehmen mit der zuständigen Strafverfolgungsbehörde über Zutrittsrechte Dritter zu einem Schiff oder Wrack (Unfallort).</w:t>
      </w:r>
    </w:p>
    <w:p>
      <w:r>
        <w:t xml:space="preserve">(2) Die Untersuchungsführer und Untersuchungsfachkräfte sind befugt, Personen, die sich bereits am Unfallort aufhalten oder denen zunächst der Zutritt gestattet worden ist, den weiteren Aufenthalt zu untersagen, soweit die Gefahr besteht, dass der Untersuchungserfolg durch deren Anwesenheit beeinträchtigt wird. Bei der Entscheidung über die Zulässigkeit des Aufenthalts dieser Personen am Unfallort sind deren berechtigte Interessen und gesetzliche Verpflichtungen zu berücksichtigen.</w:t>
      </w:r>
    </w:p>
    <w:p>
      <w:r>
        <w:t xml:space="preserve">(3) Der Unfallort, die Unfallspuren, sämtliche Wrackteile und Trümmerstücke des Schiffes sowie sonstiger Inhalt des Schiffes und der Ladung dürfen ohne Zustimmung der Bundesstelle nicht berührt oder verändert werden. Gestattet sind lediglich</w:t>
      </w:r>
    </w:p>
    <w:p>
      <w:pPr>
        <w:ind w:left="420"/>
      </w:pPr>
      <w:r>
        <w:t xml:space="preserve">1. Löschmaßnahmen, möglichst ohne die Lage der in Satz 1 genannten Gegenstände zu verändern,</w:t>
      </w:r>
    </w:p>
    <w:p>
      <w:pPr>
        <w:ind w:left="420"/>
      </w:pPr>
      <w:r>
        <w:t xml:space="preserve">2. Maßnahmen zur Abwehr einer unmittelbar drohenden Gefahr,</w:t>
      </w:r>
    </w:p>
    <w:p>
      <w:pPr>
        <w:ind w:left="420"/>
      </w:pPr>
      <w:r>
        <w:t xml:space="preserve">3. die Bergung von und Erste-Hilfe-Maßnahmen an Verletzten möglichst unter gleichzeitiger schriftlicher und bildlicher Dokumentierung ihrer Lage am Unfallort oder im Verhältnis zum Unfallort.</w:t>
      </w:r>
    </w:p>
    <w:p>
      <w:r>
        <w:rPr>
          <w:color w:val="555555"/>
          <w:sz w:val="17"/>
        </w:rPr>
        <w:t xml:space="preserve">Zitiervorschlag: § 23 SUG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https://recht.nulegal.eu/gesetze/SUG/23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