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SUG — Untersuchungsbefugnisse</w:t>
      </w:r>
    </w:p>
    <w:p>
      <w:r>
        <w:rPr>
          <w:color w:val="555555"/>
          <w:sz w:val="18"/>
        </w:rPr>
        <w:t xml:space="preserve">Seesicherheits-Untersuchungs-Gesetz</w:t>
      </w:r>
    </w:p>
    <w:p>
      <w:r>
        <w:rPr>
          <w:color w:val="555555"/>
          <w:sz w:val="18"/>
        </w:rPr>
        <w:t xml:space="preserve">Stand: 02.12.2019 (konsolidierte Textfassung, kein amtliches Inkrafttretensdatum)</w:t>
      </w:r>
    </w:p>
    <w:p>
      <w:r>
        <w:t xml:space="preserve">(1) Der Untersuchungsführer sowie die Untersuchungsfachkräfte und die Beauftragten für Seeunfalluntersuchung, jeweils nach Weisung des Untersuchungsführers, sind zur Erfüllung des Untersuchungsauftrags nach § 9 Absatz 2 im Benehmen mit der örtlich zuständigen Strafverfolgungsbehörde befugt, alle erforderlichen Anordnungen und Maßnahmen zu ergreifen. Hierzu gehören insbesondere</w:t>
      </w:r>
    </w:p>
    <w:p>
      <w:pPr>
        <w:ind w:left="420"/>
      </w:pPr>
      <w:r>
        <w:t xml:space="preserve">1. der ungehinderte Zugang zum Ort des Seeunfalls sowie zu dem Schiff, Wrack einschließlich Ladung, Ausrüstung und Trümmern sowie das Betreten von Grundstücken; Grundstücke in diesem Sinne sind auch die zum Betrieb von Schiffen oder zur Herstellung von Anlagen, Instrumenten und Geräten für den Schiffsbetrieb dienenden Betriebs- und Geschäftsräume im deutschen Hoheitsgebiet,</w:t>
      </w:r>
    </w:p>
    <w:p>
      <w:pPr>
        <w:ind w:left="420"/>
      </w:pPr>
      <w:r>
        <w:t xml:space="preserve">2. zur Verhütung dringender Gefahren für die öffentliche Sicherheit und Ordnung der Zugang zu den Unterkünften und das Betreten der Unterkünfte an Bord eines Schiffes; das Grundrecht der Unverletzlichkeit der Wohnung (Artikel 13 des Grundgesetzes) wird insoweit eingeschränkt,</w:t>
      </w:r>
    </w:p>
    <w:p>
      <w:pPr>
        <w:ind w:left="420"/>
      </w:pPr>
      <w:r>
        <w:t xml:space="preserve">3. die sofortige Spurenaufnahme sowie die Entnahme von Wrackteilen, Trümmern, Bauteilen oder Stoffen sowie Bestandteilen der Ladung zu Untersuchungs- oder Auswertungszwecken,</w:t>
      </w:r>
    </w:p>
    <w:p>
      <w:pPr>
        <w:ind w:left="420"/>
      </w:pPr>
      <w:r>
        <w:t xml:space="preserve">4. das Anfordern der Untersuchung oder die Untersuchung der unter Nummer 3 genannten Gegenstände und der freie Zugang zu den Ergebnissen solcher Untersuchungen,</w:t>
      </w:r>
    </w:p>
    <w:p>
      <w:pPr>
        <w:ind w:left="420"/>
      </w:pPr>
      <w:r>
        <w:t xml:space="preserve">5. der freie Zugang zu allen Informationen und Aufzeichnungen einschließlich der Daten des Schiffsdatenschreibers (VDR-Daten), die sich auf ein Schiff, eine Fahrt, eine Ladung, eine Mannschaft oder eine sonstige Person, einen Gegenstand, einen Zustand oder einen Umstand beziehen, sowie deren Erhebung durch Ansichnahme und Verarbeitung,</w:t>
      </w:r>
    </w:p>
    <w:p>
      <w:pPr>
        <w:ind w:left="420"/>
      </w:pPr>
      <w:r>
        <w:t xml:space="preserve">6. die Vervielfältigung, insbesondere durch Ablichtung von Unterlagen, Aufzeichnungen, Zeugnissen oder sonstigen Bescheinigungen (Unterlagen) eines Schiffes sowie Unterlagen, die sich an Bord eines Schiffes befinden und einen Bezug zum Seeunfall haben,</w:t>
      </w:r>
    </w:p>
    <w:p>
      <w:pPr>
        <w:ind w:left="420"/>
      </w:pPr>
      <w:r>
        <w:t xml:space="preserve">7. der freie Zugang zu den Ergebnissen von Untersuchungen der Körper von Opfern und zu Tests, die mit Proben aus Körpern von Opfern durchgeführt werden,</w:t>
      </w:r>
    </w:p>
    <w:p>
      <w:pPr>
        <w:ind w:left="420"/>
      </w:pPr>
      <w:r>
        <w:t xml:space="preserve">8. das Anfordern von und der freie Zugang zu den Ergebnissen von Untersuchungen der am Betrieb des Schiffes beteiligten Personen oder anderer Personen, bei denen der Verdacht der Einflussnahme auf den Betrieb des Schiffes besteht, oder zu Tests an den ihnen entnommenen Proben,</w:t>
      </w:r>
    </w:p>
    <w:p>
      <w:pPr>
        <w:ind w:left="420"/>
      </w:pPr>
      <w:r>
        <w:t xml:space="preserve">9. das Verarbeiten von Informationen durch ungehinderte Einsichtnahme in die sachbezogenen schriftlichen und elektronischen Unterlagen des Eigentümers, des Betreibers oder des Herstellers des Schiffes und seiner Teile sowie der für die zivile Seefahrt und den Hafenbetrieb zuständigen Behörden des Bundes und der Klassifikationsgesellschaften sowie die Anfertigung entsprechender Vervielfältigungen,</w:t>
      </w:r>
    </w:p>
    <w:p>
      <w:pPr>
        <w:ind w:left="420"/>
      </w:pPr>
      <w:r>
        <w:t xml:space="preserve">10. das Ersuchen um den Beistand der zuständigen Behörden der jeweiligen beteiligten Staaten, einschließlich der Besichtiger des Flaggenstaates und des Hafenstaates, der Bediensteten der Küstenwache, des für die Überwachung des Schiffsverkehrs zuständigen Personals der Verkehrszentralen, der Such- und Rettungsdiensteinheiten, der Lotsen und des sonstigen Hafen- oder Seeschifffahrtspersonals, soweit dies zur Erfüllung des Untersuchungszwecks nach § 9 Absatz 2 erforderlich ist.</w:t>
      </w:r>
    </w:p>
    <w:p>
      <w:r>
        <w:t xml:space="preserve">(2) Der Direktor der Bundesstelle und die Untersuchungsführer sind im Benehmen mit der zuständigen Strafverfolgungsbehörde befugt, eine Autopsie der sterblichen Überreste von Besatzungsmitgliedern und anderen Personen an Bord des Schiffes zu verlangen, wenn</w:t>
      </w:r>
    </w:p>
    <w:p>
      <w:pPr>
        <w:ind w:left="420"/>
      </w:pPr>
      <w:r>
        <w:t xml:space="preserve">1. der begründete Verdacht besteht, dass eine gesundheitliche Störung Ursache des Seeunfalls ist, oder</w:t>
      </w:r>
    </w:p>
    <w:p>
      <w:pPr>
        <w:ind w:left="420"/>
      </w:pPr>
      <w:r>
        <w:t xml:space="preserve">2. dies im Hinblick auf den Schutz der Personen an Bord oder am Betrieb des Schiffes beteiligter Personen vor tödlichen Verletzungen erforderlich ist. Die Leichenöffnung und die Ausgrabung einer beerdigten Leiche werden vom Richter beim Amtsgericht angeordnet. Der Untersuchungsführer ist zu der Anordnung befugt, wenn der Untersuchungserfolg durch Verzögerung gefährdet würde. § 87 Absatz 1 bis 3 und 4 Satz 2 der Strafprozessordnung gilt entsprechend.</w:t>
      </w:r>
    </w:p>
    <w:p>
      <w:r>
        <w:t xml:space="preserve">(3) Die Sicherstellung von als Nachweismittel geeigneten Spuren und Gegenständen hat in enger Zusammenarbeit mit der zuständigen Strafverfolgungsbehörde zu erfolgen. Dies gilt insbesondere für solche Nachweismittel, die für einen erfolgreichen Ausgang der Sicherheitsuntersuchung sofort gesichert und ausgewertet werden müssen, wie die Identifizierung und Untersuchung der Opfer und die Aufzeichnungsanlagen.</w:t>
      </w:r>
    </w:p>
    <w:p>
      <w:r>
        <w:t xml:space="preserve">(4) Das Bundesministerium für Verkehr und digitale Infrastruktur wird ermächtigt, zur Verbesserung der Sicherheit im Seeverkehr durch Rechtsverordnung ohne Zustimmung des Bundesrates Pflichten am Betrieb der Schiffe beteiligter Personen, insbesondere des Schiffsführers, zur Unterstützung der und Mitwirkung an den Sicherheitsuntersuchungen, insbesondere zur Beweissicherung von Daten, Aufzeichnungen und Geräten im Zusammenhang mit einem Seeunfall zu regeln.</w:t>
      </w:r>
    </w:p>
    <w:p>
      <w:r>
        <w:t xml:space="preserve">(5) Widerspruch und Anfechtungsklage gegen Anordnungen der Bundesstelle im Rahmen der Sicherheitsuntersuchungen haben keine aufschiebende Wirkung.</w:t>
      </w:r>
    </w:p>
    <w:p>
      <w:r>
        <w:rPr>
          <w:color w:val="555555"/>
          <w:sz w:val="17"/>
        </w:rPr>
        <w:t xml:space="preserve">Zitiervorschlag: § 22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