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SUG — Einleitung der Sicherheitsuntersuchung</w:t>
      </w:r>
    </w:p>
    <w:p>
      <w:r>
        <w:rPr>
          <w:color w:val="555555"/>
          <w:sz w:val="18"/>
        </w:rPr>
        <w:t xml:space="preserve">Seesicherheits-Untersuchungs-Gesetz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Direktor der Bundesstelle oder im Falle seiner Verhinderung sein Stellvertreter bestimmt für jeden zu untersuchenden Seeunfall einen Untersuchungsführer, der die Sicherheitsuntersuchung leitet.</w:t>
      </w:r>
    </w:p>
    <w:p>
      <w:r>
        <w:t xml:space="preserve">(2) Der Untersuchungsführer trifft unverzüglich die zur Erfüllung des Untersuchungszwecks notwendigen Maßnahmen.</w:t>
      </w:r>
    </w:p>
    <w:p>
      <w:r>
        <w:rPr>
          <w:color w:val="555555"/>
          <w:sz w:val="17"/>
        </w:rPr>
        <w:t xml:space="preserve">Zitiervorschlag: § 21 SUG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https://recht.nulegal.eu/gesetze/SUG/21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