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SUG — Untersuchungsverfahren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Das Untersuchungsverfahren umfasst die gesamte Tätigkeit der Bundesstelle, die auf die Ermittlung der ursächlichen Zusammenhänge eines Seeunfalls sowie auf die Feststellung der dafür maßgebenden Ursachen gerichtet ist. Es endet mit der Zusammenfassung der Ergebnisse der Sicherheitsuntersuchung in einem Untersuchungsbericht und dessen Veröffentlichung. Der Untersuchungsbericht nach Satz 2 enthält keine personenbezogenen Daten.</w:t>
      </w:r>
    </w:p>
    <w:p>
      <w:r>
        <w:t xml:space="preserve">(2) Die Bundesstelle bestimmt den Umfang der Sicherheitsuntersuchung anhand des Ausmaßes und der Art des Seeunfalls unter Berücksichtigung der Erkenntnisse, die sich voraussichtlich für die Verbesserung der Sicherheit und die Verhütung künftiger Seeunfälle gewinnen lassen. Sie ist dabei vorbehaltlich anderer Vorschriften an keine Form gebunden. Das Verfahren ist einfach und zweckmäßig durchzuführen.</w:t>
      </w:r>
    </w:p>
    <w:p>
      <w:r>
        <w:t xml:space="preserve">(3) Die Sicherheitsuntersuchung erfolgt auf der Grundlage der in Artikel 2 Buchstabe e der Verordnung (EG) Nr. 1406/2002 des Europäischen Parlaments und des Rates vom 27. Juni 2002 zur Errichtung einer Europäischen Agentur für die Sicherheit des Seeverkehrs (ABl. L 208 vom 5.8.2002, S. 1) bezeichneten, von den Mitgliedstaaten der Europäischen Union und der Europäischen Kommission entwickelten gemeinsamen Methodik zur Sicherheitsuntersuchung von Seeunfällen. Im Rahmen der Untersuchung kann von dieser Methodik in besonderen Fällen abgewichen werden, soweit dies nach Lage des Falles und zum Erreichen der Untersuchungsziele erforderlich ist.</w:t>
      </w:r>
    </w:p>
    <w:p>
      <w:r>
        <w:t xml:space="preserve">(4) Die Bundesstelle berücksichtigt bei ihren Untersuchungen die internationalen seefahrtbezogenen Untersuchungsregelungen nach Buchstabe C der Anlage, insbesondere die Leitlinien der Internationalen Seeschifffahrtsorganisation (IMO) über die faire Behandlung von Seeleuten bei einem Unfall auf See (VkBl. 2010 S. 506).</w:t>
      </w:r>
    </w:p>
    <w:p>
      <w:r>
        <w:rPr>
          <w:color w:val="555555"/>
          <w:sz w:val="17"/>
        </w:rPr>
        <w:t xml:space="preserve">Zitiervorschlag: § 20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