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SUG — Untersuchungsstatus</w:t>
      </w:r>
    </w:p>
    <w:p>
      <w:r>
        <w:rPr>
          <w:color w:val="555555"/>
          <w:sz w:val="18"/>
        </w:rPr>
        <w:t xml:space="preserve">Seesicherheits-Untersuchungs-Gesetz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Sicherheitsuntersuchung durch die Bundesstelle hat grundsätzlich Vorrang vor allen anderen fachlich-technischen Untersuchungen für andere als die in § 9 Absatz 2 genannten Ziele und Zwecke. Die Befugnisse der Strafverfolgungsbehörden und der zur Strafverfolgung berufenen Gerichte bleiben unberührt.</w:t>
      </w:r>
    </w:p>
    <w:p>
      <w:r>
        <w:t xml:space="preserve">(2) Überschneidungen mit anders gerichteten Interessen im Einzelfall sind durch zielgerichtete und zweckmäßige Zusammenarbeit der Bundesstelle mit anderen beteiligten Behörden zu vermeiden.</w:t>
      </w:r>
    </w:p>
    <w:p>
      <w:r>
        <w:rPr>
          <w:color w:val="555555"/>
          <w:sz w:val="17"/>
        </w:rPr>
        <w:t xml:space="preserve">Zitiervorschlag: § 19 SUG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https://recht.nulegal.eu/gesetze/SUG/19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