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SUG — Unterrichtung ausländischer Staaten und der Internationalen Seeschifffahrts-Organisation (IMO)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Ereignet sich ein Seeunfall im Sinne des Artikels 94 Absatz 7 oder des Artikels 221 Absatz 2 des Seerechtsübereinkommens (BGBl. 1994 II S. 1798) im deutschen Hoheitsgebiet oder ist außerhalb desselben ein Schiff unter der Bundesflagge an einem solchen Seeunfall beteiligt, so unterrichtet die Bundesstelle unverzüglich</w:t>
      </w:r>
    </w:p>
    <w:p>
      <w:pPr>
        <w:ind w:left="420"/>
      </w:pPr>
      <w:r>
        <w:t xml:space="preserve">1. die in Betracht kommenden Flaggenstaaten,</w:t>
      </w:r>
    </w:p>
    <w:p>
      <w:pPr>
        <w:ind w:left="420"/>
      </w:pPr>
      <w:r>
        <w:t xml:space="preserve">2. den oder die anderen Staaten mit einem begründeten Interesse an einer Seeunfalluntersuchung sowie</w:t>
      </w:r>
    </w:p>
    <w:p>
      <w:pPr>
        <w:ind w:left="420"/>
      </w:pPr>
      <w:r>
        <w:t xml:space="preserve">3. nach Maßgabe des IMO-Codes für die Untersuchung von Unfällen und Vorkommnissen auf See (Verkehrsblatt 2000 S. 128, Anlagenband B 8124 S. 21) die Internationale Seeschifffahrts-Organisation.</w:t>
      </w:r>
    </w:p>
    <w:p>
      <w:r>
        <w:rPr>
          <w:color w:val="555555"/>
          <w:sz w:val="17"/>
        </w:rPr>
        <w:t xml:space="preserve">Zitiervorschlag: § 14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