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SUG — Zielsetzung und Geltungsbereich des Gesetzes</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(1) Dieses Gesetz dient dazu, die Vorsorge für die Sicherheit der Seefahrt einschließlich des damit untrennbar im Zusammenhang stehenden Arbeitsschutzes von Beschäftigten auf Seeschiffen und des Umweltschutzes auf See durch Untersuchung von Seeunfällen oder sonstigen Vorkommnissen im Seeverkehr (Seeunfällen) unter Einhaltung der darauf bezogenen geltenden internationalen Untersuchungsregelungen zu verbessern.</w:t>
      </w:r>
    </w:p>
    <w:p>
      <w:r>
        <w:t xml:space="preserve">(2) Dieses Gesetz gilt für die gesamte Seefahrt. Sie umfasst bei Seeschiffen auch Verkehrsvorgänge von, nach und in den an den Seeschifffahrtsstraßen des Bundes gelegenen Häfen.</w:t>
      </w:r>
    </w:p>
    <w:p>
      <w:r>
        <w:t xml:space="preserve">(3) Unbeschadet der Verpflichtungen aus Artikel 94 Absatz 7 des Seerechtsübereinkommens der Vereinten Nationen vom 10. Dezember 1982 (BGBl. 1994 II S. 1798) gilt dieses Gesetz nicht für Seeunfälle mit ausschließlicher Beteiligung von</w:t>
      </w:r>
    </w:p>
    <w:p>
      <w:pPr>
        <w:ind w:left="420"/>
      </w:pPr>
      <w:r>
        <w:t xml:space="preserve">1. Kriegsschiffen, Truppentransportschiffen oder sonstigen, dem Bund oder den Ländern gehörenden oder von diesen betriebenen Schiffen, die im Staatsdienst stehen und ausschließlich anderen Zwecken als Handelszwecken dienen,</w:t>
      </w:r>
    </w:p>
    <w:p>
      <w:pPr>
        <w:ind w:left="420"/>
      </w:pPr>
      <w:r>
        <w:t xml:space="preserve">2. Schiffen ohne Maschinenantrieb, Holzschiffen einfacher Bauart sowie nicht für gewerbliche Zwecke eingesetzten Sportbooten oder Sportfahrzeugen, sofern sie nicht über eine vorgeschriebene Besatzung verfügen und mehr als zwölf Fahrgäste befördern,</w:t>
      </w:r>
    </w:p>
    <w:p>
      <w:pPr>
        <w:ind w:left="420"/>
      </w:pPr>
      <w:r>
        <w:t xml:space="preserve">3. Fischereifahrzeugen mit einer Länge von weniger als 15 Metern,</w:t>
      </w:r>
    </w:p>
    <w:p>
      <w:pPr>
        <w:ind w:left="420"/>
      </w:pPr>
      <w:r>
        <w:t xml:space="preserve">4. fest installierten Offshore-Bohreinheiten.</w:t>
      </w:r>
    </w:p>
    <w:p>
      <w:r>
        <w:t xml:space="preserve">Im Übrigen wird für die Sicherheitsuntersuchung von Seeunfällen, an denen ein militärisches Schiff beteiligt ist und durch die überwiegend militärische Belange berührt werden, zwischen dem Bundesministerium für Verkehr und digitale Infrastruktur und dem Bundesministerium der Verteidigung eine geeignete Regelung getroffen.</w:t>
      </w:r>
    </w:p>
    <w:p>
      <w:r>
        <w:t xml:space="preserve">(4) Abweichend von Absatz 3 ist Abschnitt 3 auf Seeunfälle in deutschen Hoheitsgewässern und in der deutschen ausschließlichen Wirtschaftszone mit ausschließlicher Beteiligung der in Absatz 3 Satz 1 Nummer 2 oder 3 genannten Schiffe und Fahrzeuge anzuwenden, sofern im Zusammenhang mit dem Betrieb des Schiffes oder Fahrzeuges ein Seeunfall im Sinne des § 1a Nummer 1 eingetreten ist und</w:t>
      </w:r>
    </w:p>
    <w:p>
      <w:pPr>
        <w:ind w:left="420"/>
      </w:pPr>
      <w:r>
        <w:t xml:space="preserve">1. Erkenntnisse zu erwarten sind, die voraussichtlich zu einer Erhöhung der Sicherheit im Seeverkehr, insbesondere durch Verbesserung geltender Vorschriften oder Einrichtungen für die Seefahrt, beitragen können, oder</w:t>
      </w:r>
    </w:p>
    <w:p>
      <w:pPr>
        <w:ind w:left="420"/>
      </w:pPr>
      <w:r>
        <w:t xml:space="preserve">2. ein Staat mit begründetem Interesse eine Sicherheitsuntersuchung im Sinne des Abschnitts 3 beantragt.</w:t>
      </w:r>
    </w:p>
    <w:p>
      <w:r>
        <w:t xml:space="preserve">Eine Sicherheitsuntersuchung im Sinne des Satzes 1 unterbleibt, soweit sie nicht durchführbar ist oder Anhaltspunkte dafür gegeben sind, dass die Untersuchung nicht durchführbar sein könnte.</w:t>
      </w:r>
    </w:p>
    <w:p>
      <w:r>
        <w:rPr>
          <w:color w:val="555555"/>
          <w:sz w:val="17"/>
        </w:rPr>
        <w:t xml:space="preserve">Zitiervorschlag: § 1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