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STzV</w:t>
      </w:r>
    </w:p>
    <w:p>
      <w:r>
        <w:rPr>
          <w:color w:val="555555"/>
          <w:sz w:val="18"/>
        </w:rPr>
        <w:t xml:space="preserve">Soldatinnen- und Soldatenteilzeitbeschäftigungsverordnung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30a Abs. 5 und des § 93 Abs. 2 Nr. 5 des Soldatengesetzes in der Fassung der Bekanntmachung vom 30. Mai 2005 (BGBl. I S. 1482) verordnet das Bundesministerium der Verteidigung:</w:t>
      </w:r>
    </w:p>
    <w:p>
      <w:r>
        <w:rPr>
          <w:color w:val="555555"/>
          <w:sz w:val="17"/>
        </w:rPr>
        <w:t xml:space="preserve">Zitiervorschlag: Eingangsformel STzV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