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STzV — Bewilligung oder Ablehnung des Antrages</w:t>
      </w:r>
    </w:p>
    <w:p>
      <w:r>
        <w:rPr>
          <w:color w:val="555555"/>
          <w:sz w:val="18"/>
        </w:rPr>
        <w:t xml:space="preserve">Soldatinnen- und Soldatenteilzeitbeschäftigungsverordnung</w:t>
      </w:r>
    </w:p>
    <w:p>
      <w:r>
        <w:rPr>
          <w:color w:val="555555"/>
          <w:sz w:val="18"/>
        </w:rPr>
        <w:t xml:space="preserve">Stand: 10.06.2019 (konsolidierte Textfassung, kein amtliches Inkrafttretensdatum)</w:t>
      </w:r>
    </w:p>
    <w:p>
      <w:r>
        <w:t xml:space="preserve">(1) Die Bewilligung einer Teilzeitbeschäftigung oder ihrer Verlängerung außerhalb eines Dienstpostens bedarf der vorherigen Zustimmung des Bundesministeriums der Verteidigung. Die zur Bewilligung einer Teilzeitbeschäftigung notwendige Erklärung der Soldatin oder des Soldaten über die Verpflichtung nach § 30a Abs. 2 Satz 3 des Soldatengesetzes ist aktenkundig zu machen.</w:t>
      </w:r>
    </w:p>
    <w:p>
      <w:r>
        <w:t xml:space="preserve">(2) Vor der Ablehnung haben die in § 2 Abs. 2 Satz 1 genannten Disziplinarvorgesetzten unter Beteiligung der Soldatin oder des Soldaten die Möglichkeit einer Teilzeitbeschäftigung auf einem anderen Dienstposten zu prüfen. Die oder der nächsthöhere Disziplinarvorgesetzte hat die personalbearbeitende Dienststelle zu beteiligen. Ein Antrag auf familienbedingte Teilzeitbeschäftigung soll nicht abgelehnt werden, wenn ein geeigneter Dienstposten in einer Dienststelle verfügbar ist, in deren Einzugsgebiet (§ 3 Absatz 1 Nummer 1 Buchstabe c des Bundesumzugskostengesetzes) sich die Wohnung der Antragstellerin oder des Antragstellers befindet.</w:t>
      </w:r>
    </w:p>
    <w:p>
      <w:r>
        <w:t xml:space="preserve">(3) Die Entlassungsdienststelle teilt die Entscheidung unverzüglich der Soldatin oder dem Soldaten schriftlich über die nächste Disziplinarvorgesetzte oder den nächsten Disziplinarvorgesetzten mit. Ist die Entlassungsdienststelle nicht zugleich personalbearbeitende Stelle, hat sie diese zu unterrichten.</w:t>
      </w:r>
    </w:p>
    <w:p>
      <w:r>
        <w:rPr>
          <w:color w:val="555555"/>
          <w:sz w:val="17"/>
        </w:rPr>
        <w:t xml:space="preserve">Zitiervorschlag: § 7 STzV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