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STzV — Ausgestaltung der Teilzeitbeschäftigung</w:t>
      </w:r>
    </w:p>
    <w:p>
      <w:r>
        <w:rPr>
          <w:color w:val="555555"/>
          <w:sz w:val="18"/>
        </w:rPr>
        <w:t xml:space="preserve">Soldatinnen- und Soldatenteilzeitbeschäftigungsverordnung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Teilzeitbeschäftigung kann auf bis zu vier, zur Vermeidung unbilliger Härten auch auf mehr Zeitabschnitte verteilt werden.</w:t>
      </w:r>
    </w:p>
    <w:p>
      <w:r>
        <w:t xml:space="preserve">(2) Die Ausgestaltung der Teilzeitbeschäftigung kann nach flexiblen Arbeitszeitmodellen, insbesondere Blockzeitbildung, bewilligt werden, soweit wichtige dienstliche Gründe nicht entgegenstehen.</w:t>
      </w:r>
    </w:p>
    <w:p>
      <w:r>
        <w:rPr>
          <w:color w:val="555555"/>
          <w:sz w:val="17"/>
        </w:rPr>
        <w:t xml:space="preserve">Zitiervorschlag: § 5 STzV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