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STzV — Zuständigkeit für die Entscheidung</w:t>
      </w:r>
    </w:p>
    <w:p>
      <w:r>
        <w:rPr>
          <w:color w:val="555555"/>
          <w:sz w:val="18"/>
        </w:rPr>
        <w:t xml:space="preserve">Soldatinnen- und Soldatenteilzeitbeschäftigungsverordnung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einen Antrag auf Bewilligung einer Teilzeitbeschäftigung entscheidet das Bundesministerium der Verteidigung für alle Soldatinnen und Soldaten, für die es als Entlassungsdienststelle zuständig ist.</w:t>
      </w:r>
    </w:p>
    <w:p>
      <w:r>
        <w:t xml:space="preserve">(2) Im Übrigen entscheidet die Entlassungsdienststelle über einen Antrag aus dem Kreis des Personals, für das sie zuständig ist.</w:t>
      </w:r>
    </w:p>
    <w:p>
      <w:r>
        <w:t xml:space="preserve">(3) Die Absätze 1 und 2 gelten entsprechend für die Entscheidung über</w:t>
      </w:r>
    </w:p>
    <w:p>
      <w:pPr>
        <w:ind w:left="420"/>
      </w:pPr>
      <w:r>
        <w:t xml:space="preserve">1. die Verlängerung,</w:t>
      </w:r>
    </w:p>
    <w:p>
      <w:pPr>
        <w:ind w:left="420"/>
      </w:pPr>
      <w:r>
        <w:t xml:space="preserve">2. die Änderung und</w:t>
      </w:r>
    </w:p>
    <w:p>
      <w:pPr>
        <w:ind w:left="420"/>
      </w:pPr>
      <w:r>
        <w:t xml:space="preserve">3. den Widerruf der Bewilligung sowie</w:t>
      </w:r>
    </w:p>
    <w:p>
      <w:pPr>
        <w:ind w:left="420"/>
      </w:pPr>
      <w:r>
        <w:t xml:space="preserve">4. die vorzeitige Beendigung</w:t>
      </w:r>
    </w:p>
    <w:p>
      <w:r>
        <w:t xml:space="preserve">einer Teilzeitbeschäftigung.</w:t>
      </w:r>
    </w:p>
    <w:p>
      <w:r>
        <w:rPr>
          <w:color w:val="555555"/>
          <w:sz w:val="17"/>
        </w:rPr>
        <w:t xml:space="preserve">Zitiervorschlag: § 4 STzV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