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STV_FOLTER_2010 (Brandenburg)</w:t>
      </w:r>
    </w:p>
    <w:p>
      <w:r>
        <w:rPr>
          <w:color w:val="555555"/>
          <w:sz w:val="18"/>
        </w:rPr>
        <w:t xml:space="preserve">Gesetz zu dem 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Dresden am 25. Juni 2009 vom Land Brandenburg unterzeichneten Staatsvertrag über die Einrichtung eines nationalen Mechanismus aller Länder nach Artikel 3 des Fakultativprotokolls vom 18. Dezember 2002 zu dem Übereinkommen der Vereinten Nationen gegen Folter und andere grausame, unmenschliche oder erniedrigende Behandlung oder Strafe wird zugestimmt. Der Vertrag wird nachstehend veröffentlicht.</w:t>
      </w:r>
    </w:p>
    <w:p>
      <w:r>
        <w:rPr>
          <w:color w:val="555555"/>
          <w:sz w:val="17"/>
        </w:rPr>
        <w:t xml:space="preserve">Zitiervorschlag: § 1 STV_FOLTER_2010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https://recht.nulegal.eu/gesetze/STV_FOLTER_2010/1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