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STVREGISTERPORTALLAENDER_G (Brandenburg)</w:t>
      </w:r>
    </w:p>
    <w:p>
      <w:r>
        <w:rPr>
          <w:color w:val="555555"/>
          <w:sz w:val="18"/>
        </w:rPr>
        <w:t xml:space="preserve">Gesetz zu dem Staatsvertrag vom 30. November 2006 zwischen dem Land Brandenburg und dem Land Nordrhein-Westfalen über die Übertragung von Aufgaben nach § 9 Abs. 1 und § 10 des Handelsgesetzbuches zur Errichtung und zum Betrieb eines gemeinsamen Registerportals der Länder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Staatsvertrag nach seinem § 13 in Kraft tritt, ist im Gesetz- und Verordnungsblatt für das Land Brandenburg Teil I bekannt zu geben.</w:t>
      </w:r>
    </w:p>
    <w:p>
      <w:r>
        <w:t xml:space="preserve">Potsdam, den 12. Februar 2007</w:t>
      </w:r>
    </w:p>
    <w:p>
      <w:r>
        <w:t xml:space="preserve">Der Präsident des Landtages Brandenburg</w:t>
      </w:r>
    </w:p>
    <w:p>
      <w:r>
        <w:t xml:space="preserve">Gunter Fritsch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STVREGISTERPORTALLAENDER_G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https://recht.nulegal.eu/gesetze/STVREGISTERPORTALLAENDER_G/2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