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SStellV-VVG</w:t>
      </w:r>
    </w:p>
    <w:p>
      <w:r>
        <w:rPr>
          <w:color w:val="555555"/>
          <w:sz w:val="18"/>
        </w:rPr>
        <w:t xml:space="preserve">VVG-Schlichtungsstellenverordnung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Ombudsleute werden auf der Grundlage ihrer Verfahrensordnungen und Satzungen tätig.</w:t>
      </w:r>
    </w:p>
    <w:p>
      <w:r>
        <w:rPr>
          <w:color w:val="555555"/>
          <w:sz w:val="17"/>
        </w:rPr>
        <w:t xml:space="preserve">Zitiervorschlag: § 2 SStellV-VVG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https://recht.nulegal.eu/gesetze/SStellV-VVG/2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