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SRV</w:t>
      </w:r>
    </w:p>
    <w:p>
      <w:r>
        <w:rPr>
          <w:color w:val="555555"/>
          <w:sz w:val="18"/>
        </w:rPr>
        <w:t xml:space="preserve">Schutzschriftenregisterverordnung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945b der Zivilprozessordnung, der durch Artikel 1 Nummer 27 des Gesetzes vom 10. Oktober 2013 (BGBl. I S. 3786) eingefügt worden ist, in Verbindung mit § 62 Absatz 2 Satz 3 und § 85 Absatz 2 Satz 3 des Arbeitsgerichtsgesetzes, die durch Artikel 3 Nummer 6 und 7 des Gesetzes vom 10. Oktober 2013 (BGBl. I S. 3786) eingefügt worden sind, sowie in Verbindung mit § 1 Absatz 2 des Zuständigkeitsanpassungsgesetzes vom 16. August 2002 (BGBl. I S. 3165) und dem Organisationserlass vom 17. Dezember 2013 (BGBl. I S. 4310)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