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SRV — Löschung</w:t>
      </w:r>
    </w:p>
    <w:p>
      <w:r>
        <w:rPr>
          <w:color w:val="555555"/>
          <w:sz w:val="18"/>
        </w:rPr>
        <w:t xml:space="preserve">Schutzschriftenregisterverordnung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des Registers stellt sicher, dass Schutzschriften sechs Monate nach ihrer Einstellung gelöscht werden. Die gemäß § 2 Absatz 1 Satz 2 und § 5 Absatz 2 zu dieser Schutzschrift gespeicherten Daten sind nach weiteren drei Monaten zu löschen.</w:t>
      </w:r>
    </w:p>
    <w:p>
      <w:r>
        <w:t xml:space="preserve">(2) Auf Antrag des Absenders hat der Betreiber des Registers die Schutzschrift und die zu ihr gemäß § 2 Absatz 1 Satz 2 und § 5 Absatz 2 gespeicherten Daten unverzüglich zu löschen. Der Antrag ist als elektronisches Dokument nach Maßgabe des § 2 zu stellen. Der Absender erhält eine automatisiert erstellte Bestätigung über die Löschung. Eine Mitteilung nach § 5 Absatz 3 erfolgt nach der Löschung nicht mehr.</w:t>
      </w:r>
    </w:p>
    <w:p>
      <w:r>
        <w:t xml:space="preserve">(3) Unzulässigerweise in das Register eingestellte Daten sind nach Feststellung der Unzulässigkeit unverzüglich zu löschen.</w:t>
      </w:r>
    </w:p>
    <w:p>
      <w:r>
        <w:rPr>
          <w:color w:val="555555"/>
          <w:sz w:val="17"/>
        </w:rPr>
        <w:t xml:space="preserve">Zitiervorschlag: § 6 SRV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