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SRV — Protokollierungs- und Mitteilungspflichten</w:t>
      </w:r>
    </w:p>
    <w:p>
      <w:r>
        <w:rPr>
          <w:color w:val="555555"/>
          <w:sz w:val="18"/>
        </w:rPr>
        <w:t xml:space="preserve">Schutzschriftenregisterverordnung</w:t>
      </w:r>
    </w:p>
    <w:p>
      <w:r>
        <w:rPr>
          <w:color w:val="555555"/>
          <w:sz w:val="18"/>
        </w:rPr>
        <w:t xml:space="preserve">Stand: 10.06.2019 (konsolidierte Textfassung, kein amtliches Inkrafttretensdatum)</w:t>
      </w:r>
    </w:p>
    <w:p>
      <w:r>
        <w:t xml:space="preserve">(1) Jeder Abruf ist unter Angabe des Gerichts, des gerichtlichen Aktenzeichens, sofern ein solches bereits vergeben wurde, der Suchbegriffe, des Zeitpunkts des Abrufes, des Ergebnisses der Suchanfrage und der übermittelten Daten elektronisch zu protokollieren. Das Protokoll wird elektronisch an das abrufende Gericht übersandt; eine Einstellung des Protokolls in das Register erfolgt nicht.</w:t>
      </w:r>
    </w:p>
    <w:p>
      <w:r>
        <w:t xml:space="preserve">(2) Das abrufende Gericht und das gerichtliche Aktenzeichen, sofern ein solches bereits vergeben wurde, werden im Register bei der abgerufenen Schutzschrift gespeichert, wenn der Abruf zum Auffinden einer Schutzschrift führte. Als aufgefunden gilt eine Schutzschrift, wenn sie auf eine Suchanfrage in einer Trefferliste angezeigt wird.</w:t>
      </w:r>
    </w:p>
    <w:p>
      <w:r>
        <w:t xml:space="preserve">(3) Wird eine aufgefundene Schutzschrift vom abrufenden Gericht als sachlich einschlägig gekennzeichnet, erhält der Absender drei Monate nach dieser Kennzeichnung eine automatisiert erstellte Mitteilung, die das abrufende Gericht und das gerichtliche Aktenzeichen enthält.</w:t>
      </w:r>
    </w:p>
    <w:p>
      <w:r>
        <w:rPr>
          <w:color w:val="555555"/>
          <w:sz w:val="17"/>
        </w:rPr>
        <w:t xml:space="preserve">Zitiervorschlag: § 5 SRV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