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SRV — Abruf</w:t>
      </w:r>
    </w:p>
    <w:p>
      <w:r>
        <w:rPr>
          <w:color w:val="555555"/>
          <w:sz w:val="18"/>
        </w:rPr>
        <w:t xml:space="preserve">Schutzschriftenregisterverordnung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Abruf ist jede Suchanfrage bei dem Register.</w:t>
      </w:r>
    </w:p>
    <w:p>
      <w:r>
        <w:t xml:space="preserve">(2) Der Abruf des Registers ist nur den zuständigen Gerichten der Länder in elektronischer Form zur Nutzung in anhängigen Verfahren gestattet. Die Befugnis nach Satz 1 ist bei jedem Verbindungsaufbau anhand einer Benutzerkennung und eines geheim zu haltenden Passworts oder in einem automatisierten Identifizierungsverfahren elektronisch zu prüfen.</w:t>
      </w:r>
    </w:p>
    <w:p>
      <w:r>
        <w:t xml:space="preserve">(3) Bei jedem Abruf sind die Bezeichnung der Parteien und das gerichtliche Aktenzeichen, sofern ein solches bereits vergeben wurde, anzugeben.</w:t>
      </w:r>
    </w:p>
    <w:p>
      <w:r>
        <w:t xml:space="preserve">(4) Der Betreiber des Registers stellt die jederzeitige elektronische Abrufbarkeit des Registers sicher. Störungen werden dem abrufenden Gericht unverzüglich mitgeteilt.</w:t>
      </w:r>
    </w:p>
    <w:p>
      <w:r>
        <w:rPr>
          <w:color w:val="555555"/>
          <w:sz w:val="17"/>
        </w:rPr>
        <w:t xml:space="preserve">Zitiervorschlag: § 4 SRV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https://recht.nulegal.eu/gesetze/SRV/4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