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SRV — Einstellung</w:t>
      </w:r>
    </w:p>
    <w:p>
      <w:r>
        <w:rPr>
          <w:color w:val="555555"/>
          <w:sz w:val="18"/>
        </w:rPr>
        <w:t xml:space="preserve">Schutzschriftenregisterverordnung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dem Register elektronisch übermittelte Schutzschrift ist unverzüglich nach ihrer ordnungsgemäßen Einreichung zum elektronischen Abruf und Ausdruck in das Register einzustellen.</w:t>
      </w:r>
    </w:p>
    <w:p>
      <w:r>
        <w:t xml:space="preserve">(2) Eine Schutzschrift ist in das Register eingestellt, wenn sie auf der für den Abruf bestimmten Einrichtung des Registers elektronisch gespeichert und für die Gerichte der Länder abrufbar ist.</w:t>
      </w:r>
    </w:p>
    <w:p>
      <w:r>
        <w:t xml:space="preserve">(3) Einstellungen im Register erfolgen ohne inhaltliche Überprüfung der Angaben. Eine Berichtigung von Schutzschriften findet nicht statt.</w:t>
      </w:r>
    </w:p>
    <w:p>
      <w:r>
        <w:t xml:space="preserve">(4) Dem Absender ist eine automatisiert erstellte Bestätigung über den Zeitpunkt der Einstellung zu erteilen.</w:t>
      </w:r>
    </w:p>
    <w:p>
      <w:r>
        <w:rPr>
          <w:color w:val="555555"/>
          <w:sz w:val="17"/>
        </w:rPr>
        <w:t xml:space="preserve">Zitiervorschlag: § 3 SRV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https://recht.nulegal.eu/gesetze/SRV/3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