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SRV — Einreichung</w:t>
      </w:r>
    </w:p>
    <w:p>
      <w:r>
        <w:rPr>
          <w:color w:val="555555"/>
          <w:sz w:val="18"/>
        </w:rPr>
        <w:t xml:space="preserve">Schutzschriftenregisterverordnung</w:t>
      </w:r>
    </w:p>
    <w:p>
      <w:r>
        <w:rPr>
          <w:color w:val="555555"/>
          <w:sz w:val="18"/>
        </w:rPr>
        <w:t xml:space="preserve">Stand: 07.01.2026 (konsolidierte Textfassung, kein amtliches Inkrafttretensdatum)</w:t>
      </w:r>
    </w:p>
    <w:p>
      <w:r>
        <w:t xml:space="preserve">(1) Zur Einreichung einer Schutzschrift bei dem Register ist jeder berechtigt, der eine Schutzschrift gemäß § 945a Absatz 1 Satz 2 der Zivilprozessordnung bei Gericht einreichen kann. Der Schutzschrift ist ein einheitlich strukturierter Datensatz beizufügen, der mindestens die Angaben nach § 1 Absatz 2 Nummer 1 und 2 enthält. Der Schutzschrift können Anlagen beigefügt werden.</w:t>
      </w:r>
    </w:p>
    <w:p>
      <w:r>
        <w:t xml:space="preserve">(2) Die Schutzschrift, ihre Anlagen und der strukturierte Datensatz sind nach Maßgabe der folgenden Absätze als elektronisches Dokument bei dem Register einzureichen.</w:t>
      </w:r>
    </w:p>
    <w:p>
      <w:r>
        <w:t xml:space="preserve">(3) Das elektronische Dokument muss für die Bearbeitung durch das Register geeignet sein. Der Betreiber des Registers bestimmt die technischen Rahmenbedingungen der Einreichung. Die Bestimmungen müssen in angemessener Weise den Zugang zum Register sicherstellen und regelmäßig an den jeweiligen Stand der Technik angepasst werden. Sie sind vom Betreiber des Registers auf seiner Internetseite zu veröffentlichen.</w:t>
      </w:r>
    </w:p>
    <w:p>
      <w:r>
        <w:t xml:space="preserve">(4) Das elektronische Dokument, das die Schutzschrift enthält, muss mit einer qualifizierten elektronischen Signatur der verantwortenden Person versehen sein. Wird das elektronische Dokument auf einem sicheren Übermittlungsweg eingereicht, genügt es, wenn die Schutzschrift durch die verantwortende Person signiert wird.</w:t>
      </w:r>
    </w:p>
    <w:p>
      <w:r>
        <w:t xml:space="preserve">(5) Sichere Übermittlungswege sind:</w:t>
      </w:r>
    </w:p>
    <w:p>
      <w:pPr>
        <w:ind w:left="420"/>
      </w:pPr>
      <w:r>
        <w:t xml:space="preserve">1. der Übermittlungsweg zwischen den besonderen elektronischen Anwaltspostfächern nach den §§ 31a und 31b der Bundesrechtsanwaltsordnung und dem Register,</w:t>
      </w:r>
    </w:p>
    <w:p>
      <w:pPr>
        <w:ind w:left="420"/>
      </w:pPr>
      <w:r>
        <w:t xml:space="preserve">2. der Übermittlungsweg zwischen einem auf gesetzlicher Grundlage errichteten elektronischen Postfach, das dem Anwaltspostfach nach Nummer 1 entspricht, und dem Register,</w:t>
      </w:r>
    </w:p>
    <w:p>
      <w:pPr>
        <w:ind w:left="420"/>
      </w:pPr>
      <w:r>
        <w:t xml:space="preserve">3. der Übermittlungsweg zwischen einem nach Durchführung eines Identifizierungsverfahrens eingerichteten Postfach einer Behörde oder einer juristischen Person des öffentlichen Rechts und dem Register,</w:t>
      </w:r>
    </w:p>
    <w:p>
      <w:pPr>
        <w:ind w:left="420"/>
      </w:pPr>
      <w:r>
        <w:t xml:space="preserve">4. der Übermittlungsweg zwischen einem nach Durchführung eines Identifizierungsverfahrens eingerichteten elektronischen Postfach einer natürlichen oder juristischen Person oder einer sonstigen Vereinigung und dem Register,</w:t>
      </w:r>
    </w:p>
    <w:p>
      <w:pPr>
        <w:ind w:left="420"/>
      </w:pPr>
      <w:r>
        <w:t xml:space="preserve">5. der Übermittlungsweg zwischen einem nach Durchführung eines Identifizierungsverfahrens genutzten Postfach- und Versanddienst eines Nutzerkontos im Sinne des § 2 Absatz 5 des Onlinezugangsgesetzes und dem Register,</w:t>
      </w:r>
    </w:p>
    <w:p>
      <w:pPr>
        <w:ind w:left="420"/>
      </w:pPr>
      <w:r>
        <w:t xml:space="preserve">6. sonstige bundeseinheitliche Übermittlungswege, die durch Rechtsverordnung nach § 130a Absatz 4 Satz 1 Nummer 5 der Zivilprozessordnung festgelegt werden.</w:t>
      </w:r>
    </w:p>
    <w:p>
      <w:r>
        <w:t xml:space="preserve">(6) Ist ein elektronisches Dokument für das Register zur Bearbeitung nicht geeignet, hat der Betreiber des Registers dies dem Absender unter Hinweis auf die Unwirksamkeit des Eingangs und auf die geltenden technischen Rahmenbedingungen unverzüglich mitzuteilen.</w:t>
      </w:r>
    </w:p>
    <w:p>
      <w:r>
        <w:rPr>
          <w:color w:val="555555"/>
          <w:sz w:val="17"/>
        </w:rPr>
        <w:t xml:space="preserve">Zitiervorschlag: § 2 SRV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